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CC" w:rsidRPr="00C82ACC" w:rsidRDefault="00C82ACC" w:rsidP="00C82ACC">
      <w:pPr>
        <w:jc w:val="center"/>
        <w:rPr>
          <w:b/>
          <w:bCs/>
        </w:rPr>
      </w:pPr>
      <w:r w:rsidRPr="00C82ACC">
        <w:rPr>
          <w:b/>
          <w:bCs/>
          <w:sz w:val="32"/>
        </w:rPr>
        <w:t>People’s Leasing &amp; Finance PLC</w:t>
      </w:r>
    </w:p>
    <w:p w:rsidR="00C82ACC" w:rsidRDefault="00C82ACC" w:rsidP="00C82ACC">
      <w:pPr>
        <w:jc w:val="center"/>
      </w:pPr>
    </w:p>
    <w:p w:rsidR="00C82ACC" w:rsidRPr="00C82ACC" w:rsidRDefault="00C82ACC" w:rsidP="00C82ACC">
      <w:pPr>
        <w:jc w:val="center"/>
        <w:rPr>
          <w:b/>
          <w:bCs/>
        </w:rPr>
      </w:pPr>
      <w:r w:rsidRPr="00C82ACC">
        <w:rPr>
          <w:b/>
          <w:bCs/>
        </w:rPr>
        <w:t>(A Subsidiary of People’s Bank)</w:t>
      </w:r>
    </w:p>
    <w:p w:rsidR="00C82ACC" w:rsidRDefault="00C82ACC" w:rsidP="00C82ACC">
      <w:pPr>
        <w:jc w:val="center"/>
      </w:pPr>
    </w:p>
    <w:p w:rsidR="00C82ACC" w:rsidRDefault="00C82ACC" w:rsidP="00C82ACC">
      <w:pPr>
        <w:jc w:val="center"/>
      </w:pPr>
      <w:r>
        <w:t>Rated AA-(</w:t>
      </w:r>
      <w:proofErr w:type="spellStart"/>
      <w:r>
        <w:t>lka</w:t>
      </w:r>
      <w:proofErr w:type="spellEnd"/>
      <w:r>
        <w:t xml:space="preserve">) by Fitch Ratings Lanka and </w:t>
      </w:r>
      <w:proofErr w:type="gramStart"/>
      <w:r>
        <w:t>Internationally</w:t>
      </w:r>
      <w:proofErr w:type="gramEnd"/>
      <w:r>
        <w:t xml:space="preserve"> rated B+/B by Standard &amp; Poor’s and B by Fitch Ratings International.</w:t>
      </w:r>
    </w:p>
    <w:p w:rsidR="00C82ACC" w:rsidRDefault="00C82ACC" w:rsidP="00C82ACC">
      <w:pPr>
        <w:jc w:val="center"/>
      </w:pPr>
    </w:p>
    <w:p w:rsidR="00C82ACC" w:rsidRPr="00C82ACC" w:rsidRDefault="00C82ACC" w:rsidP="00C82ACC">
      <w:pPr>
        <w:jc w:val="center"/>
        <w:rPr>
          <w:b/>
          <w:bCs/>
        </w:rPr>
      </w:pPr>
      <w:r w:rsidRPr="00C82ACC">
        <w:rPr>
          <w:b/>
          <w:bCs/>
        </w:rPr>
        <w:t>AUDITED FINANCIAL STATEMENTS FOR THE YEAR ENDED 31 MARCH 2016</w:t>
      </w:r>
    </w:p>
    <w:p w:rsidR="00C82ACC" w:rsidRDefault="00C82ACC" w:rsidP="00C82ACC"/>
    <w:p w:rsidR="00C82ACC" w:rsidRPr="00C82ACC" w:rsidRDefault="00C82ACC" w:rsidP="00C82ACC">
      <w:pPr>
        <w:rPr>
          <w:b/>
          <w:bCs/>
        </w:rPr>
      </w:pPr>
      <w:r w:rsidRPr="00C82ACC">
        <w:rPr>
          <w:b/>
          <w:bCs/>
        </w:rPr>
        <w:t>INDEPENDENT AUDITOR’S REPORT</w:t>
      </w:r>
    </w:p>
    <w:p w:rsidR="00C82ACC" w:rsidRDefault="00C82ACC" w:rsidP="00C82ACC"/>
    <w:p w:rsidR="00C82ACC" w:rsidRPr="00C82ACC" w:rsidRDefault="00C82ACC" w:rsidP="00C82ACC">
      <w:pPr>
        <w:rPr>
          <w:b/>
          <w:bCs/>
        </w:rPr>
      </w:pPr>
      <w:r w:rsidRPr="00C82ACC">
        <w:rPr>
          <w:b/>
          <w:bCs/>
        </w:rPr>
        <w:t>TO THE SHAREHOLDERS OF PEOPLE'S LEASING &amp; FINANCE PLC</w:t>
      </w:r>
    </w:p>
    <w:p w:rsidR="00C82ACC" w:rsidRPr="00CF2048" w:rsidRDefault="00C82ACC" w:rsidP="00C82ACC">
      <w:pPr>
        <w:rPr>
          <w:sz w:val="16"/>
          <w:szCs w:val="16"/>
        </w:rPr>
      </w:pPr>
    </w:p>
    <w:p w:rsidR="00C82ACC" w:rsidRPr="00C82ACC" w:rsidRDefault="00C82ACC" w:rsidP="00C82ACC">
      <w:pPr>
        <w:rPr>
          <w:b/>
          <w:bCs/>
        </w:rPr>
      </w:pPr>
      <w:r w:rsidRPr="00C82ACC">
        <w:rPr>
          <w:b/>
          <w:bCs/>
        </w:rPr>
        <w:t xml:space="preserve">Report on the Financial Statements </w:t>
      </w:r>
    </w:p>
    <w:p w:rsidR="00C82ACC" w:rsidRPr="00C82ACC" w:rsidRDefault="00C82ACC" w:rsidP="00C82ACC">
      <w:pPr>
        <w:rPr>
          <w:sz w:val="8"/>
          <w:szCs w:val="8"/>
        </w:rPr>
      </w:pPr>
    </w:p>
    <w:p w:rsidR="00C82ACC" w:rsidRDefault="00C82ACC" w:rsidP="00C82ACC">
      <w:r>
        <w:t>We have audited the accompanying financial statements of People’s Leasing &amp; Finance PLC (“the Company”), and the consolidated financial statements of the Company and its subsidiaries (“the Group”), which comprise the statement of financial position as at 31 March 2016, and the statement of profit or loss and statement of comprehensive income, statements of changes in equity and, statement of cash flows for the year then ended, and a summary of significant accounting policies and other explanatory information set out on pages 243 to 331 of the annual report.</w:t>
      </w:r>
    </w:p>
    <w:p w:rsidR="00C82ACC" w:rsidRPr="00CF2048" w:rsidRDefault="00C82ACC" w:rsidP="00C82ACC">
      <w:pPr>
        <w:rPr>
          <w:sz w:val="16"/>
          <w:szCs w:val="16"/>
        </w:rPr>
      </w:pPr>
    </w:p>
    <w:p w:rsidR="00C82ACC" w:rsidRPr="00CF0EFE" w:rsidRDefault="00C82ACC" w:rsidP="00C82ACC">
      <w:pPr>
        <w:rPr>
          <w:b/>
          <w:bCs/>
        </w:rPr>
      </w:pPr>
      <w:r w:rsidRPr="00CF0EFE">
        <w:rPr>
          <w:b/>
          <w:bCs/>
        </w:rPr>
        <w:t>Board's Responsibility for the Financial Statements</w:t>
      </w:r>
    </w:p>
    <w:p w:rsidR="00C82ACC" w:rsidRPr="00C82ACC" w:rsidRDefault="00C82ACC" w:rsidP="00C82ACC">
      <w:pPr>
        <w:rPr>
          <w:sz w:val="8"/>
          <w:szCs w:val="8"/>
        </w:rPr>
      </w:pPr>
    </w:p>
    <w:p w:rsidR="00C82ACC" w:rsidRDefault="00C82ACC" w:rsidP="00C82ACC">
      <w:r>
        <w:t xml:space="preserve">The Board of Directors (“Board”) is responsible for the preparation of these financial statements that give a true and fair view in accordance with Sri Lanka Accounting </w:t>
      </w:r>
      <w:proofErr w:type="gramStart"/>
      <w:r>
        <w:t>Standards,</w:t>
      </w:r>
      <w:proofErr w:type="gramEnd"/>
      <w:r>
        <w:t xml:space="preserve"> and for such internal control as Board determines is necessary to enable the preparation of financial statements that are free from material misstatement, whether due to fraud or error.</w:t>
      </w:r>
    </w:p>
    <w:p w:rsidR="00C82ACC" w:rsidRPr="00CF2048" w:rsidRDefault="00C82ACC" w:rsidP="00C82ACC">
      <w:pPr>
        <w:rPr>
          <w:sz w:val="16"/>
          <w:szCs w:val="16"/>
        </w:rPr>
      </w:pPr>
    </w:p>
    <w:p w:rsidR="00C82ACC" w:rsidRPr="00CF0EFE" w:rsidRDefault="00C82ACC" w:rsidP="00C82ACC">
      <w:pPr>
        <w:rPr>
          <w:b/>
          <w:bCs/>
        </w:rPr>
      </w:pPr>
      <w:r w:rsidRPr="00CF0EFE">
        <w:rPr>
          <w:b/>
          <w:bCs/>
        </w:rPr>
        <w:t>Auditor's Responsibility</w:t>
      </w:r>
    </w:p>
    <w:p w:rsidR="00C82ACC" w:rsidRPr="00C82ACC" w:rsidRDefault="00C82ACC" w:rsidP="00C82ACC">
      <w:pPr>
        <w:rPr>
          <w:sz w:val="8"/>
          <w:szCs w:val="8"/>
        </w:rPr>
      </w:pPr>
    </w:p>
    <w:p w:rsidR="00C82ACC" w:rsidRDefault="00C82ACC" w:rsidP="00C82ACC">
      <w:r>
        <w:t>Our responsibility is to express an opinion on these financial statements based on our audit. We conducted our audit in accordance with Sri Lanka Auditing Standards. Those standards require that we comply with ethical requirements and plan and perform the audit to obtain reasonable assurance about whether the financial statements are free from material misstatement. An audit involves performing procedures to obtain audit evidence about the amounts and disclosures in the financial statements.</w:t>
      </w:r>
    </w:p>
    <w:p w:rsidR="00C82ACC" w:rsidRDefault="00C82ACC" w:rsidP="00C82ACC"/>
    <w:p w:rsidR="00C82ACC" w:rsidRDefault="00C82ACC" w:rsidP="00C82ACC">
      <w:r>
        <w:t xml:space="preserve">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of the financial statements that give a true and fair view in order to design audit procedures that are appropriate in the circumstances, but not for the purpose of expressing an opinion on the </w:t>
      </w:r>
      <w:r>
        <w:lastRenderedPageBreak/>
        <w:t>effectiveness of the entity’s internal control. An audit also includes evaluating the appropriateness of accounting polices used and the reasonableness of accounting estimates made by Board, as well as evaluating the overall presentation of the financial statements. We believe that the audit evidence we have obtained is sufficient and appropriate to provide a basis for our audit opinion.</w:t>
      </w:r>
    </w:p>
    <w:p w:rsidR="00C82ACC" w:rsidRPr="00CF2048" w:rsidRDefault="00C82ACC" w:rsidP="00C82ACC">
      <w:pPr>
        <w:rPr>
          <w:sz w:val="16"/>
          <w:szCs w:val="16"/>
        </w:rPr>
      </w:pPr>
    </w:p>
    <w:p w:rsidR="00C82ACC" w:rsidRPr="00CF0EFE" w:rsidRDefault="00C82ACC" w:rsidP="00C82ACC">
      <w:pPr>
        <w:rPr>
          <w:b/>
          <w:bCs/>
        </w:rPr>
      </w:pPr>
      <w:r w:rsidRPr="00CF0EFE">
        <w:rPr>
          <w:b/>
          <w:bCs/>
        </w:rPr>
        <w:t>Opinion</w:t>
      </w:r>
    </w:p>
    <w:p w:rsidR="00C82ACC" w:rsidRPr="00C82ACC" w:rsidRDefault="00C82ACC" w:rsidP="00C82ACC">
      <w:pPr>
        <w:rPr>
          <w:sz w:val="8"/>
          <w:szCs w:val="8"/>
        </w:rPr>
      </w:pPr>
    </w:p>
    <w:p w:rsidR="00C82ACC" w:rsidRDefault="00C82ACC" w:rsidP="00C82ACC">
      <w:r>
        <w:t>In our opinion, the consolidated financial statements give a true and fair view of</w:t>
      </w:r>
      <w:r w:rsidR="00177604">
        <w:t xml:space="preserve"> </w:t>
      </w:r>
      <w:r>
        <w:t>the financial position of the Group as at 31 March 2016, and of its financial performance and cash flows for the year then ended in accordance with Sri Lanka Accounting Standards.</w:t>
      </w:r>
    </w:p>
    <w:p w:rsidR="00C82ACC" w:rsidRDefault="00C82ACC" w:rsidP="00C82ACC"/>
    <w:p w:rsidR="00C82ACC" w:rsidRPr="00CF0EFE" w:rsidRDefault="00C82ACC" w:rsidP="00C82ACC">
      <w:pPr>
        <w:rPr>
          <w:b/>
          <w:bCs/>
        </w:rPr>
      </w:pPr>
      <w:r w:rsidRPr="00CF0EFE">
        <w:rPr>
          <w:b/>
          <w:bCs/>
        </w:rPr>
        <w:t>Report on Other Legal and Regulatory Requirements</w:t>
      </w:r>
    </w:p>
    <w:p w:rsidR="00C82ACC" w:rsidRPr="00CF0EFE" w:rsidRDefault="00C82ACC" w:rsidP="00C82ACC">
      <w:pPr>
        <w:rPr>
          <w:sz w:val="8"/>
          <w:szCs w:val="8"/>
        </w:rPr>
      </w:pPr>
    </w:p>
    <w:p w:rsidR="00C82ACC" w:rsidRDefault="00C82ACC" w:rsidP="00C82ACC">
      <w:r>
        <w:t>As required by section 163(2) of the Companies Act No. 7 of 2007, we state the following:</w:t>
      </w:r>
    </w:p>
    <w:p w:rsidR="00C82ACC" w:rsidRDefault="00C82ACC" w:rsidP="00C82ACC"/>
    <w:p w:rsidR="00C82ACC" w:rsidRDefault="00C82ACC" w:rsidP="00C82ACC">
      <w:r>
        <w:t>(a) The basis of opinion, scope and limitations of the audit are as stated above</w:t>
      </w:r>
    </w:p>
    <w:p w:rsidR="00C82ACC" w:rsidRPr="00CF2048" w:rsidRDefault="00C82ACC" w:rsidP="00C82ACC">
      <w:pPr>
        <w:rPr>
          <w:sz w:val="8"/>
          <w:szCs w:val="8"/>
        </w:rPr>
      </w:pPr>
    </w:p>
    <w:p w:rsidR="00C82ACC" w:rsidRDefault="00C82ACC" w:rsidP="00C82ACC">
      <w:r>
        <w:t xml:space="preserve">(b) In our opinion: </w:t>
      </w:r>
    </w:p>
    <w:p w:rsidR="00C82ACC" w:rsidRDefault="00C82ACC" w:rsidP="00C82ACC"/>
    <w:p w:rsidR="00C82ACC" w:rsidRDefault="00C82ACC" w:rsidP="00CF0EFE">
      <w:pPr>
        <w:pStyle w:val="ListParagraph"/>
        <w:numPr>
          <w:ilvl w:val="0"/>
          <w:numId w:val="1"/>
        </w:numPr>
      </w:pPr>
      <w:r>
        <w:t>We have obtained all the information and explanations that were required for the audit and, as far as appears from our examination, proper accounting records have been kept by the Company.</w:t>
      </w:r>
    </w:p>
    <w:p w:rsidR="00C82ACC" w:rsidRPr="00CF2048" w:rsidRDefault="00C82ACC" w:rsidP="00C82ACC">
      <w:pPr>
        <w:rPr>
          <w:sz w:val="8"/>
          <w:szCs w:val="8"/>
        </w:rPr>
      </w:pPr>
    </w:p>
    <w:p w:rsidR="00C82ACC" w:rsidRDefault="00C82ACC" w:rsidP="00CF0EFE">
      <w:pPr>
        <w:pStyle w:val="ListParagraph"/>
        <w:numPr>
          <w:ilvl w:val="0"/>
          <w:numId w:val="1"/>
        </w:numPr>
      </w:pPr>
      <w:r>
        <w:t>The financial statements of the Company give a true and fair view of its financial position as at 31st March 2016, and of its financial performance and cash flows for the year then ended in accordance with Sri Lanka Accounting Standards.</w:t>
      </w:r>
    </w:p>
    <w:p w:rsidR="00C82ACC" w:rsidRPr="00CF2048" w:rsidRDefault="00C82ACC" w:rsidP="00C82ACC">
      <w:pPr>
        <w:rPr>
          <w:sz w:val="8"/>
          <w:szCs w:val="8"/>
        </w:rPr>
      </w:pPr>
    </w:p>
    <w:p w:rsidR="00C82ACC" w:rsidRDefault="00C82ACC" w:rsidP="00CF0EFE">
      <w:pPr>
        <w:pStyle w:val="ListParagraph"/>
        <w:numPr>
          <w:ilvl w:val="0"/>
          <w:numId w:val="1"/>
        </w:numPr>
      </w:pPr>
      <w:r>
        <w:t>The financial statements of the Company and the Group comply with the requirements of Sections 151 and 153 of the Companies Act No. 07 of 2007.</w:t>
      </w:r>
    </w:p>
    <w:p w:rsidR="00C82ACC" w:rsidRDefault="00C82ACC" w:rsidP="00C82ACC"/>
    <w:p w:rsidR="00C82ACC" w:rsidRDefault="00C82ACC" w:rsidP="00C82ACC"/>
    <w:p w:rsidR="00C82ACC" w:rsidRDefault="00C82ACC" w:rsidP="00C82ACC">
      <w:r>
        <w:t>18 May 2016</w:t>
      </w:r>
    </w:p>
    <w:p w:rsidR="00C82ACC" w:rsidRDefault="00C82ACC" w:rsidP="00C82ACC">
      <w:r>
        <w:t>Colombo</w:t>
      </w:r>
    </w:p>
    <w:p w:rsidR="00C82ACC" w:rsidRDefault="00C82ACC" w:rsidP="00C82ACC"/>
    <w:p w:rsidR="00C82ACC" w:rsidRDefault="00C82ACC" w:rsidP="00CF2048">
      <w:r>
        <w:t xml:space="preserve">Partners: </w:t>
      </w:r>
      <w:r w:rsidR="00CF0EFE">
        <w:tab/>
      </w:r>
      <w:r>
        <w:t xml:space="preserve">W R H Fernando FCA FCMA, M P D </w:t>
      </w:r>
      <w:proofErr w:type="spellStart"/>
      <w:r>
        <w:t>Cooray</w:t>
      </w:r>
      <w:proofErr w:type="spellEnd"/>
      <w:r>
        <w:t xml:space="preserve"> FCA FCMA, R N de </w:t>
      </w:r>
      <w:proofErr w:type="spellStart"/>
      <w:r>
        <w:t>Saram</w:t>
      </w:r>
      <w:proofErr w:type="spellEnd"/>
      <w:r>
        <w:t xml:space="preserve"> ACA</w:t>
      </w:r>
      <w:r w:rsidR="00CF0EFE">
        <w:t xml:space="preserve"> </w:t>
      </w:r>
      <w:r>
        <w:t xml:space="preserve">FCMA, </w:t>
      </w:r>
      <w:proofErr w:type="spellStart"/>
      <w:r>
        <w:t>Ms.N</w:t>
      </w:r>
      <w:proofErr w:type="spellEnd"/>
      <w:r>
        <w:t xml:space="preserve"> A De Silva FCA, </w:t>
      </w:r>
      <w:proofErr w:type="spellStart"/>
      <w:r>
        <w:t>Ms.Y</w:t>
      </w:r>
      <w:proofErr w:type="spellEnd"/>
      <w:r>
        <w:t xml:space="preserve"> A De </w:t>
      </w:r>
      <w:r w:rsidR="00CF2048">
        <w:tab/>
      </w:r>
      <w:r w:rsidR="00CF2048">
        <w:tab/>
      </w:r>
      <w:r w:rsidR="00CF2048">
        <w:tab/>
      </w:r>
      <w:r>
        <w:t xml:space="preserve">Silva FCA, W K B S P Fernando FCA FCMA, </w:t>
      </w:r>
      <w:proofErr w:type="spellStart"/>
      <w:r>
        <w:t>Ms.L</w:t>
      </w:r>
      <w:proofErr w:type="spellEnd"/>
      <w:r>
        <w:t xml:space="preserve"> K H L </w:t>
      </w:r>
      <w:proofErr w:type="spellStart"/>
      <w:r>
        <w:t>Fonseka</w:t>
      </w:r>
      <w:proofErr w:type="spellEnd"/>
      <w:r>
        <w:t xml:space="preserve"> FCA, A P A </w:t>
      </w:r>
      <w:proofErr w:type="spellStart"/>
      <w:r>
        <w:t>Gunasekara</w:t>
      </w:r>
      <w:proofErr w:type="spellEnd"/>
      <w:r>
        <w:t xml:space="preserve"> FCA FCMA, A </w:t>
      </w:r>
      <w:proofErr w:type="spellStart"/>
      <w:r>
        <w:t>Herath</w:t>
      </w:r>
      <w:proofErr w:type="spellEnd"/>
      <w:r>
        <w:t xml:space="preserve"> FCA, D K </w:t>
      </w:r>
      <w:r w:rsidR="00CF2048">
        <w:tab/>
      </w:r>
      <w:r w:rsidR="00CF2048">
        <w:tab/>
      </w:r>
      <w:proofErr w:type="spellStart"/>
      <w:r>
        <w:t>Hulangamuwa</w:t>
      </w:r>
      <w:proofErr w:type="spellEnd"/>
      <w:r>
        <w:t xml:space="preserve"> FCA FCMA LLB (</w:t>
      </w:r>
      <w:proofErr w:type="spellStart"/>
      <w:r>
        <w:t>Lond</w:t>
      </w:r>
      <w:proofErr w:type="spellEnd"/>
      <w:r>
        <w:t xml:space="preserve">), H M A </w:t>
      </w:r>
      <w:proofErr w:type="spellStart"/>
      <w:r>
        <w:t>Jayesinghe</w:t>
      </w:r>
      <w:proofErr w:type="spellEnd"/>
      <w:r>
        <w:t xml:space="preserve"> FCA FCMA, Ms. A </w:t>
      </w:r>
      <w:proofErr w:type="spellStart"/>
      <w:r>
        <w:t>A</w:t>
      </w:r>
      <w:proofErr w:type="spellEnd"/>
      <w:r>
        <w:t xml:space="preserve"> </w:t>
      </w:r>
      <w:proofErr w:type="spellStart"/>
      <w:r>
        <w:t>Ludowyke</w:t>
      </w:r>
      <w:proofErr w:type="spellEnd"/>
      <w:r>
        <w:t xml:space="preserve"> FCA FCMA, Ms. G </w:t>
      </w:r>
      <w:proofErr w:type="spellStart"/>
      <w:r>
        <w:t>G</w:t>
      </w:r>
      <w:proofErr w:type="spellEnd"/>
      <w:r>
        <w:t xml:space="preserve"> S </w:t>
      </w:r>
      <w:r w:rsidR="00CF2048">
        <w:tab/>
      </w:r>
      <w:r w:rsidR="00CF2048">
        <w:tab/>
      </w:r>
      <w:r w:rsidR="00CF2048">
        <w:tab/>
      </w:r>
      <w:proofErr w:type="spellStart"/>
      <w:r>
        <w:t>Manathunga</w:t>
      </w:r>
      <w:proofErr w:type="spellEnd"/>
      <w:r>
        <w:t xml:space="preserve"> FCA, N M </w:t>
      </w:r>
      <w:proofErr w:type="spellStart"/>
      <w:r>
        <w:t>Sulaiman</w:t>
      </w:r>
      <w:proofErr w:type="spellEnd"/>
      <w:r>
        <w:t xml:space="preserve"> ACA ACMA, B E </w:t>
      </w:r>
      <w:proofErr w:type="spellStart"/>
      <w:r>
        <w:t>Wijesuriya</w:t>
      </w:r>
      <w:proofErr w:type="spellEnd"/>
      <w:r>
        <w:t xml:space="preserve"> FCA FCMA</w:t>
      </w:r>
    </w:p>
    <w:p w:rsidR="00C82ACC" w:rsidRDefault="00C82ACC" w:rsidP="00C82ACC"/>
    <w:p w:rsidR="00CF2048" w:rsidRDefault="00C82ACC" w:rsidP="00CF2048">
      <w:r>
        <w:t>A member firm of Ernst &amp; Young Global Limited</w:t>
      </w:r>
    </w:p>
    <w:p w:rsidR="00CF2048" w:rsidRDefault="00CF2048">
      <w:r>
        <w:br w:type="page"/>
      </w:r>
    </w:p>
    <w:p w:rsidR="005E15BE" w:rsidRDefault="005E15BE">
      <w:pPr>
        <w:rPr>
          <w:rFonts w:eastAsia="Times New Roman"/>
          <w:color w:val="000000"/>
          <w:lang w:bidi="ta-IN"/>
        </w:rPr>
      </w:pPr>
      <w:bookmarkStart w:id="0" w:name="RANGE!A4"/>
      <w:r w:rsidRPr="00560771">
        <w:rPr>
          <w:rFonts w:eastAsia="Times New Roman"/>
          <w:b/>
          <w:bCs/>
          <w:color w:val="000000"/>
          <w:sz w:val="32"/>
          <w:szCs w:val="32"/>
          <w:lang w:bidi="ta-IN"/>
        </w:rPr>
        <w:lastRenderedPageBreak/>
        <w:t>STATEMENT OF PROFIT OR LOSS</w:t>
      </w:r>
      <w:bookmarkEnd w:id="0"/>
    </w:p>
    <w:p w:rsidR="005E15BE" w:rsidRDefault="005E15BE">
      <w:r w:rsidRPr="00560771">
        <w:rPr>
          <w:rFonts w:eastAsia="Times New Roman"/>
          <w:color w:val="000000"/>
          <w:lang w:bidi="ta-IN"/>
        </w:rPr>
        <w:t xml:space="preserve">For the year ended 31st March </w:t>
      </w:r>
    </w:p>
    <w:tbl>
      <w:tblPr>
        <w:tblW w:w="13411" w:type="dxa"/>
        <w:tblInd w:w="93" w:type="dxa"/>
        <w:tblLook w:val="04A0" w:firstRow="1" w:lastRow="0" w:firstColumn="1" w:lastColumn="0" w:noHBand="0" w:noVBand="1"/>
      </w:tblPr>
      <w:tblGrid>
        <w:gridCol w:w="5420"/>
        <w:gridCol w:w="271"/>
        <w:gridCol w:w="1300"/>
        <w:gridCol w:w="1380"/>
        <w:gridCol w:w="1120"/>
        <w:gridCol w:w="1360"/>
        <w:gridCol w:w="1480"/>
        <w:gridCol w:w="1080"/>
      </w:tblGrid>
      <w:tr w:rsidR="00560771" w:rsidRPr="00560771" w:rsidTr="005E15BE">
        <w:trPr>
          <w:trHeight w:val="300"/>
          <w:tblHeader/>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3800" w:type="dxa"/>
            <w:gridSpan w:val="3"/>
            <w:tcBorders>
              <w:top w:val="nil"/>
              <w:left w:val="nil"/>
              <w:bottom w:val="nil"/>
              <w:right w:val="nil"/>
            </w:tcBorders>
            <w:shd w:val="clear" w:color="auto" w:fill="auto"/>
            <w:vAlign w:val="bottom"/>
            <w:hideMark/>
          </w:tcPr>
          <w:p w:rsidR="00560771" w:rsidRPr="00560771" w:rsidRDefault="00560771" w:rsidP="00560771">
            <w:pPr>
              <w:spacing w:line="240" w:lineRule="auto"/>
              <w:jc w:val="center"/>
              <w:rPr>
                <w:rFonts w:eastAsia="Times New Roman"/>
                <w:b/>
                <w:bCs/>
                <w:color w:val="000000"/>
                <w:sz w:val="22"/>
                <w:szCs w:val="22"/>
                <w:lang w:bidi="ta-IN"/>
              </w:rPr>
            </w:pPr>
            <w:r w:rsidRPr="00560771">
              <w:rPr>
                <w:rFonts w:eastAsia="Times New Roman"/>
                <w:b/>
                <w:bCs/>
                <w:color w:val="000000"/>
                <w:sz w:val="22"/>
                <w:szCs w:val="22"/>
                <w:lang w:bidi="ta-IN"/>
              </w:rPr>
              <w:t xml:space="preserve">Company </w:t>
            </w:r>
          </w:p>
        </w:tc>
        <w:tc>
          <w:tcPr>
            <w:tcW w:w="3920" w:type="dxa"/>
            <w:gridSpan w:val="3"/>
            <w:tcBorders>
              <w:top w:val="nil"/>
              <w:left w:val="nil"/>
              <w:bottom w:val="nil"/>
              <w:right w:val="nil"/>
            </w:tcBorders>
            <w:shd w:val="clear" w:color="auto" w:fill="auto"/>
            <w:vAlign w:val="bottom"/>
            <w:hideMark/>
          </w:tcPr>
          <w:p w:rsidR="00560771" w:rsidRPr="00560771" w:rsidRDefault="00560771" w:rsidP="00560771">
            <w:pPr>
              <w:spacing w:line="240" w:lineRule="auto"/>
              <w:jc w:val="center"/>
              <w:rPr>
                <w:rFonts w:eastAsia="Times New Roman"/>
                <w:b/>
                <w:bCs/>
                <w:color w:val="000000"/>
                <w:sz w:val="22"/>
                <w:szCs w:val="22"/>
                <w:lang w:bidi="ta-IN"/>
              </w:rPr>
            </w:pPr>
            <w:r w:rsidRPr="00560771">
              <w:rPr>
                <w:rFonts w:eastAsia="Times New Roman"/>
                <w:b/>
                <w:bCs/>
                <w:color w:val="000000"/>
                <w:sz w:val="22"/>
                <w:szCs w:val="22"/>
                <w:lang w:bidi="ta-IN"/>
              </w:rPr>
              <w:t xml:space="preserve">Group </w:t>
            </w:r>
          </w:p>
        </w:tc>
      </w:tr>
      <w:tr w:rsidR="00560771" w:rsidRPr="00560771" w:rsidTr="005E15BE">
        <w:trPr>
          <w:trHeight w:val="600"/>
          <w:tblHeader/>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vAlign w:val="bottom"/>
            <w:hideMark/>
          </w:tcPr>
          <w:p w:rsidR="00560771" w:rsidRPr="00560771" w:rsidRDefault="00560771" w:rsidP="00560771">
            <w:pPr>
              <w:spacing w:line="240" w:lineRule="auto"/>
              <w:jc w:val="center"/>
              <w:rPr>
                <w:rFonts w:eastAsia="Times New Roman"/>
                <w:b/>
                <w:bCs/>
                <w:color w:val="000000"/>
                <w:sz w:val="22"/>
                <w:szCs w:val="22"/>
                <w:lang w:bidi="ta-IN"/>
              </w:rPr>
            </w:pPr>
            <w:r w:rsidRPr="00560771">
              <w:rPr>
                <w:rFonts w:eastAsia="Times New Roman"/>
                <w:b/>
                <w:bCs/>
                <w:color w:val="000000"/>
                <w:sz w:val="22"/>
                <w:szCs w:val="22"/>
                <w:lang w:bidi="ta-IN"/>
              </w:rPr>
              <w:t xml:space="preserve"> 2016</w:t>
            </w:r>
            <w:r w:rsidRPr="00560771">
              <w:rPr>
                <w:rFonts w:eastAsia="Times New Roman"/>
                <w:b/>
                <w:bCs/>
                <w:color w:val="000000"/>
                <w:sz w:val="22"/>
                <w:szCs w:val="22"/>
                <w:lang w:bidi="ta-IN"/>
              </w:rPr>
              <w:br/>
              <w:t xml:space="preserve">Rs. '000 </w:t>
            </w:r>
          </w:p>
        </w:tc>
        <w:tc>
          <w:tcPr>
            <w:tcW w:w="1380" w:type="dxa"/>
            <w:tcBorders>
              <w:top w:val="nil"/>
              <w:left w:val="nil"/>
              <w:bottom w:val="nil"/>
              <w:right w:val="nil"/>
            </w:tcBorders>
            <w:shd w:val="clear" w:color="auto" w:fill="auto"/>
            <w:vAlign w:val="bottom"/>
            <w:hideMark/>
          </w:tcPr>
          <w:p w:rsidR="00560771" w:rsidRPr="00560771" w:rsidRDefault="00560771" w:rsidP="00560771">
            <w:pPr>
              <w:spacing w:line="240" w:lineRule="auto"/>
              <w:jc w:val="center"/>
              <w:rPr>
                <w:rFonts w:eastAsia="Times New Roman"/>
                <w:color w:val="000000"/>
                <w:sz w:val="22"/>
                <w:szCs w:val="22"/>
                <w:lang w:bidi="ta-IN"/>
              </w:rPr>
            </w:pPr>
            <w:r w:rsidRPr="00560771">
              <w:rPr>
                <w:rFonts w:eastAsia="Times New Roman"/>
                <w:color w:val="000000"/>
                <w:sz w:val="22"/>
                <w:szCs w:val="22"/>
                <w:lang w:bidi="ta-IN"/>
              </w:rPr>
              <w:t xml:space="preserve"> 2015</w:t>
            </w:r>
            <w:r w:rsidRPr="00560771">
              <w:rPr>
                <w:rFonts w:eastAsia="Times New Roman"/>
                <w:color w:val="000000"/>
                <w:sz w:val="22"/>
                <w:szCs w:val="22"/>
                <w:lang w:bidi="ta-IN"/>
              </w:rPr>
              <w:br/>
              <w:t xml:space="preserve">Rs. '000 </w:t>
            </w:r>
          </w:p>
        </w:tc>
        <w:tc>
          <w:tcPr>
            <w:tcW w:w="1120" w:type="dxa"/>
            <w:tcBorders>
              <w:top w:val="nil"/>
              <w:left w:val="nil"/>
              <w:bottom w:val="nil"/>
              <w:right w:val="nil"/>
            </w:tcBorders>
            <w:shd w:val="clear" w:color="auto" w:fill="auto"/>
            <w:vAlign w:val="bottom"/>
            <w:hideMark/>
          </w:tcPr>
          <w:p w:rsidR="00560771" w:rsidRPr="00560771" w:rsidRDefault="00560771" w:rsidP="00560771">
            <w:pPr>
              <w:spacing w:line="240" w:lineRule="auto"/>
              <w:jc w:val="center"/>
              <w:rPr>
                <w:rFonts w:eastAsia="Times New Roman"/>
                <w:color w:val="000000"/>
                <w:sz w:val="22"/>
                <w:szCs w:val="22"/>
                <w:lang w:bidi="ta-IN"/>
              </w:rPr>
            </w:pPr>
            <w:r w:rsidRPr="00560771">
              <w:rPr>
                <w:rFonts w:eastAsia="Times New Roman"/>
                <w:color w:val="000000"/>
                <w:sz w:val="22"/>
                <w:szCs w:val="22"/>
                <w:lang w:bidi="ta-IN"/>
              </w:rPr>
              <w:t xml:space="preserve"> Change</w:t>
            </w:r>
            <w:r w:rsidRPr="00560771">
              <w:rPr>
                <w:rFonts w:eastAsia="Times New Roman"/>
                <w:color w:val="000000"/>
                <w:sz w:val="22"/>
                <w:szCs w:val="22"/>
                <w:lang w:bidi="ta-IN"/>
              </w:rPr>
              <w:br/>
              <w:t xml:space="preserve">% </w:t>
            </w:r>
          </w:p>
        </w:tc>
        <w:tc>
          <w:tcPr>
            <w:tcW w:w="1360" w:type="dxa"/>
            <w:tcBorders>
              <w:top w:val="nil"/>
              <w:left w:val="nil"/>
              <w:bottom w:val="nil"/>
              <w:right w:val="nil"/>
            </w:tcBorders>
            <w:shd w:val="clear" w:color="auto" w:fill="auto"/>
            <w:vAlign w:val="bottom"/>
            <w:hideMark/>
          </w:tcPr>
          <w:p w:rsidR="00560771" w:rsidRPr="00560771" w:rsidRDefault="00560771" w:rsidP="00560771">
            <w:pPr>
              <w:spacing w:line="240" w:lineRule="auto"/>
              <w:jc w:val="center"/>
              <w:rPr>
                <w:rFonts w:eastAsia="Times New Roman"/>
                <w:b/>
                <w:bCs/>
                <w:color w:val="000000"/>
                <w:sz w:val="22"/>
                <w:szCs w:val="22"/>
                <w:lang w:bidi="ta-IN"/>
              </w:rPr>
            </w:pPr>
            <w:r w:rsidRPr="00560771">
              <w:rPr>
                <w:rFonts w:eastAsia="Times New Roman"/>
                <w:b/>
                <w:bCs/>
                <w:color w:val="000000"/>
                <w:sz w:val="22"/>
                <w:szCs w:val="22"/>
                <w:lang w:bidi="ta-IN"/>
              </w:rPr>
              <w:t xml:space="preserve"> 2016</w:t>
            </w:r>
            <w:r w:rsidRPr="00560771">
              <w:rPr>
                <w:rFonts w:eastAsia="Times New Roman"/>
                <w:b/>
                <w:bCs/>
                <w:color w:val="000000"/>
                <w:sz w:val="22"/>
                <w:szCs w:val="22"/>
                <w:lang w:bidi="ta-IN"/>
              </w:rPr>
              <w:br/>
              <w:t xml:space="preserve">Rs. '000 </w:t>
            </w:r>
          </w:p>
        </w:tc>
        <w:tc>
          <w:tcPr>
            <w:tcW w:w="1480" w:type="dxa"/>
            <w:tcBorders>
              <w:top w:val="nil"/>
              <w:left w:val="nil"/>
              <w:bottom w:val="nil"/>
              <w:right w:val="nil"/>
            </w:tcBorders>
            <w:shd w:val="clear" w:color="auto" w:fill="auto"/>
            <w:vAlign w:val="bottom"/>
            <w:hideMark/>
          </w:tcPr>
          <w:p w:rsidR="00560771" w:rsidRPr="00560771" w:rsidRDefault="00560771" w:rsidP="00560771">
            <w:pPr>
              <w:spacing w:line="240" w:lineRule="auto"/>
              <w:jc w:val="center"/>
              <w:rPr>
                <w:rFonts w:eastAsia="Times New Roman"/>
                <w:color w:val="000000"/>
                <w:sz w:val="22"/>
                <w:szCs w:val="22"/>
                <w:lang w:bidi="ta-IN"/>
              </w:rPr>
            </w:pPr>
            <w:r w:rsidRPr="00560771">
              <w:rPr>
                <w:rFonts w:eastAsia="Times New Roman"/>
                <w:color w:val="000000"/>
                <w:sz w:val="22"/>
                <w:szCs w:val="22"/>
                <w:lang w:bidi="ta-IN"/>
              </w:rPr>
              <w:t>2015</w:t>
            </w:r>
            <w:r w:rsidRPr="00560771">
              <w:rPr>
                <w:rFonts w:eastAsia="Times New Roman"/>
                <w:color w:val="000000"/>
                <w:sz w:val="22"/>
                <w:szCs w:val="22"/>
                <w:lang w:bidi="ta-IN"/>
              </w:rPr>
              <w:br/>
              <w:t>Rs. '000</w:t>
            </w:r>
          </w:p>
        </w:tc>
        <w:tc>
          <w:tcPr>
            <w:tcW w:w="1080" w:type="dxa"/>
            <w:tcBorders>
              <w:top w:val="nil"/>
              <w:left w:val="nil"/>
              <w:bottom w:val="nil"/>
              <w:right w:val="nil"/>
            </w:tcBorders>
            <w:shd w:val="clear" w:color="auto" w:fill="auto"/>
            <w:vAlign w:val="bottom"/>
            <w:hideMark/>
          </w:tcPr>
          <w:p w:rsidR="00560771" w:rsidRPr="00560771" w:rsidRDefault="00560771" w:rsidP="00560771">
            <w:pPr>
              <w:spacing w:line="240" w:lineRule="auto"/>
              <w:jc w:val="center"/>
              <w:rPr>
                <w:rFonts w:eastAsia="Times New Roman"/>
                <w:color w:val="000000"/>
                <w:sz w:val="22"/>
                <w:szCs w:val="22"/>
                <w:lang w:bidi="ta-IN"/>
              </w:rPr>
            </w:pPr>
            <w:r w:rsidRPr="00560771">
              <w:rPr>
                <w:rFonts w:eastAsia="Times New Roman"/>
                <w:color w:val="000000"/>
                <w:sz w:val="22"/>
                <w:szCs w:val="22"/>
                <w:lang w:bidi="ta-IN"/>
              </w:rPr>
              <w:t xml:space="preserve"> Change</w:t>
            </w:r>
            <w:r w:rsidRPr="00560771">
              <w:rPr>
                <w:rFonts w:eastAsia="Times New Roman"/>
                <w:color w:val="000000"/>
                <w:sz w:val="22"/>
                <w:szCs w:val="22"/>
                <w:lang w:bidi="ta-IN"/>
              </w:rPr>
              <w:br/>
              <w:t xml:space="preserve">% </w:t>
            </w:r>
          </w:p>
        </w:tc>
      </w:tr>
      <w:tr w:rsidR="00560771" w:rsidRPr="00560771" w:rsidTr="00560771">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center"/>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center"/>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center"/>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center"/>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center"/>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center"/>
              <w:rPr>
                <w:rFonts w:eastAsia="Times New Roman"/>
                <w:color w:val="000000"/>
                <w:sz w:val="22"/>
                <w:szCs w:val="22"/>
                <w:lang w:bidi="ta-IN"/>
              </w:rPr>
            </w:pPr>
          </w:p>
        </w:tc>
      </w:tr>
      <w:tr w:rsidR="00560771" w:rsidRPr="00560771" w:rsidTr="00F5430F">
        <w:trPr>
          <w:trHeight w:val="315"/>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Income</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single" w:sz="8"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19,186,228 </w:t>
            </w:r>
          </w:p>
        </w:tc>
        <w:tc>
          <w:tcPr>
            <w:tcW w:w="1380" w:type="dxa"/>
            <w:tcBorders>
              <w:top w:val="nil"/>
              <w:left w:val="nil"/>
              <w:bottom w:val="single" w:sz="8"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20,541,628 </w:t>
            </w:r>
          </w:p>
        </w:tc>
        <w:tc>
          <w:tcPr>
            <w:tcW w:w="1120" w:type="dxa"/>
            <w:tcBorders>
              <w:top w:val="nil"/>
              <w:left w:val="nil"/>
              <w:bottom w:val="single" w:sz="8"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(6.60)</w:t>
            </w:r>
          </w:p>
        </w:tc>
        <w:tc>
          <w:tcPr>
            <w:tcW w:w="1360" w:type="dxa"/>
            <w:tcBorders>
              <w:top w:val="nil"/>
              <w:left w:val="nil"/>
              <w:bottom w:val="single" w:sz="8"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22,579,702 </w:t>
            </w:r>
          </w:p>
        </w:tc>
        <w:tc>
          <w:tcPr>
            <w:tcW w:w="1480" w:type="dxa"/>
            <w:tcBorders>
              <w:top w:val="nil"/>
              <w:left w:val="nil"/>
              <w:bottom w:val="single" w:sz="8"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23,578,871 </w:t>
            </w:r>
          </w:p>
        </w:tc>
        <w:tc>
          <w:tcPr>
            <w:tcW w:w="1080" w:type="dxa"/>
            <w:tcBorders>
              <w:top w:val="nil"/>
              <w:left w:val="nil"/>
              <w:bottom w:val="single" w:sz="8"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(4.24)</w:t>
            </w:r>
          </w:p>
        </w:tc>
      </w:tr>
      <w:tr w:rsidR="00560771" w:rsidRPr="00560771" w:rsidTr="00F5430F">
        <w:trPr>
          <w:trHeight w:val="135"/>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 xml:space="preserve">Interest income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17,876,083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19,247,619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(7.13)</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18,301,167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19,595,091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(6.60)</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 xml:space="preserve">Interest expenses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7,941,063 </w:t>
            </w:r>
          </w:p>
        </w:tc>
        <w:tc>
          <w:tcPr>
            <w:tcW w:w="138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9,247,594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(14.13)</w:t>
            </w:r>
          </w:p>
        </w:tc>
        <w:tc>
          <w:tcPr>
            <w:tcW w:w="136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8,006,050 </w:t>
            </w:r>
          </w:p>
        </w:tc>
        <w:tc>
          <w:tcPr>
            <w:tcW w:w="148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9,350,272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(14.38)</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 xml:space="preserve">Net interest income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9,935,020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10,000,025 </w:t>
            </w:r>
          </w:p>
        </w:tc>
        <w:tc>
          <w:tcPr>
            <w:tcW w:w="112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(0.65)</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10,295,117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10,244,819 </w:t>
            </w:r>
          </w:p>
        </w:tc>
        <w:tc>
          <w:tcPr>
            <w:tcW w:w="108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0.49 </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Net earned premiums</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3,283,171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2,949,902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11.30 </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Fee and commission income</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952,351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874,034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8.96 </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528,304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576,592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(8.37)</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Net trading income</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(40,355)</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57,985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(169.60)</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(71,903)</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120,741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(159.55)</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 xml:space="preserve">Other operating income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398,149 </w:t>
            </w:r>
          </w:p>
        </w:tc>
        <w:tc>
          <w:tcPr>
            <w:tcW w:w="138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361,990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9.99 </w:t>
            </w:r>
          </w:p>
        </w:tc>
        <w:tc>
          <w:tcPr>
            <w:tcW w:w="136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538,963 </w:t>
            </w:r>
          </w:p>
        </w:tc>
        <w:tc>
          <w:tcPr>
            <w:tcW w:w="148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336,545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60.15 </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 xml:space="preserve">Total operating income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11,245,165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11,294,034 </w:t>
            </w:r>
          </w:p>
        </w:tc>
        <w:tc>
          <w:tcPr>
            <w:tcW w:w="112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(0.43)</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14,573,652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14,228,599 </w:t>
            </w:r>
          </w:p>
        </w:tc>
        <w:tc>
          <w:tcPr>
            <w:tcW w:w="108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2.43 </w:t>
            </w:r>
          </w:p>
        </w:tc>
      </w:tr>
      <w:tr w:rsidR="00560771" w:rsidRPr="00560771" w:rsidTr="00F5430F">
        <w:trPr>
          <w:trHeight w:val="300"/>
        </w:trPr>
        <w:tc>
          <w:tcPr>
            <w:tcW w:w="5420" w:type="dxa"/>
            <w:tcBorders>
              <w:top w:val="nil"/>
              <w:left w:val="nil"/>
              <w:bottom w:val="nil"/>
              <w:right w:val="nil"/>
            </w:tcBorders>
            <w:shd w:val="clear" w:color="auto" w:fill="auto"/>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 xml:space="preserve">Less: Impairment charges for loans and other losses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258,350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1,644,876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(84.29)</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290,703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1,670,681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(82.60)</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 xml:space="preserve">Net operating income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10,986,815 </w:t>
            </w:r>
          </w:p>
        </w:tc>
        <w:tc>
          <w:tcPr>
            <w:tcW w:w="138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9,649,158 </w:t>
            </w:r>
          </w:p>
        </w:tc>
        <w:tc>
          <w:tcPr>
            <w:tcW w:w="112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13.86 </w:t>
            </w:r>
          </w:p>
        </w:tc>
        <w:tc>
          <w:tcPr>
            <w:tcW w:w="136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14,282,949 </w:t>
            </w:r>
          </w:p>
        </w:tc>
        <w:tc>
          <w:tcPr>
            <w:tcW w:w="148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12,557,918 </w:t>
            </w:r>
          </w:p>
        </w:tc>
        <w:tc>
          <w:tcPr>
            <w:tcW w:w="1080" w:type="dxa"/>
            <w:tcBorders>
              <w:top w:val="single" w:sz="4" w:space="0" w:color="auto"/>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13.74 </w:t>
            </w:r>
          </w:p>
        </w:tc>
      </w:tr>
      <w:tr w:rsidR="00560771" w:rsidRPr="00560771" w:rsidTr="00F5430F">
        <w:trPr>
          <w:trHeight w:val="495"/>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Less:</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Personnel expenses</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1,807,017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1,565,226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15.45 </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2,070,552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1,802,013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14.90 </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 xml:space="preserve">Depreciation of property, plant and equipment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197,097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201,261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(2.07)</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280,493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280,116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0.13 </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Amortisation</w:t>
            </w:r>
            <w:bookmarkStart w:id="1" w:name="_GoBack"/>
            <w:bookmarkEnd w:id="1"/>
            <w:r w:rsidRPr="00560771">
              <w:rPr>
                <w:rFonts w:eastAsia="Times New Roman"/>
                <w:color w:val="000000"/>
                <w:sz w:val="22"/>
                <w:szCs w:val="22"/>
                <w:lang w:bidi="ta-IN"/>
              </w:rPr>
              <w:t xml:space="preserve"> of intangible assets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13,127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15,807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(16.95)</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17,817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18,804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(5.25)</w:t>
            </w:r>
          </w:p>
        </w:tc>
      </w:tr>
      <w:tr w:rsidR="00560771" w:rsidRPr="00560771" w:rsidTr="00F5430F">
        <w:trPr>
          <w:trHeight w:val="621"/>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lastRenderedPageBreak/>
              <w:t xml:space="preserve">Benefits, claims and underwriting expenditure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2,249,778 </w:t>
            </w: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2,120,331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6.11 </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 xml:space="preserve">Other operating expenses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2,280,450 </w:t>
            </w:r>
          </w:p>
        </w:tc>
        <w:tc>
          <w:tcPr>
            <w:tcW w:w="138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2,129,180 </w:t>
            </w: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7.10 </w:t>
            </w:r>
          </w:p>
        </w:tc>
        <w:tc>
          <w:tcPr>
            <w:tcW w:w="136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2,361,268 </w:t>
            </w:r>
          </w:p>
        </w:tc>
        <w:tc>
          <w:tcPr>
            <w:tcW w:w="148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2,077,112 </w:t>
            </w: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13.68 </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 xml:space="preserve">Total operating expenses  </w:t>
            </w: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4,297,691 </w:t>
            </w:r>
          </w:p>
        </w:tc>
        <w:tc>
          <w:tcPr>
            <w:tcW w:w="138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3,911,474 </w:t>
            </w:r>
          </w:p>
        </w:tc>
        <w:tc>
          <w:tcPr>
            <w:tcW w:w="1120" w:type="dxa"/>
            <w:tcBorders>
              <w:top w:val="single" w:sz="4" w:space="0" w:color="auto"/>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9.87 </w:t>
            </w:r>
          </w:p>
        </w:tc>
        <w:tc>
          <w:tcPr>
            <w:tcW w:w="136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6,979,908 </w:t>
            </w:r>
          </w:p>
        </w:tc>
        <w:tc>
          <w:tcPr>
            <w:tcW w:w="1480" w:type="dxa"/>
            <w:tcBorders>
              <w:top w:val="nil"/>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6,298,376 </w:t>
            </w:r>
          </w:p>
        </w:tc>
        <w:tc>
          <w:tcPr>
            <w:tcW w:w="1080" w:type="dxa"/>
            <w:tcBorders>
              <w:top w:val="single" w:sz="4" w:space="0" w:color="auto"/>
              <w:left w:val="nil"/>
              <w:bottom w:val="single" w:sz="4" w:space="0" w:color="auto"/>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10.82 </w:t>
            </w:r>
          </w:p>
        </w:tc>
      </w:tr>
      <w:tr w:rsidR="00560771" w:rsidRPr="00560771" w:rsidTr="00F5430F">
        <w:trPr>
          <w:trHeight w:val="300"/>
        </w:trPr>
        <w:tc>
          <w:tcPr>
            <w:tcW w:w="5420"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271" w:type="dxa"/>
            <w:tcBorders>
              <w:top w:val="nil"/>
              <w:left w:val="nil"/>
              <w:bottom w:val="nil"/>
              <w:right w:val="nil"/>
            </w:tcBorders>
            <w:shd w:val="clear" w:color="auto" w:fill="auto"/>
            <w:noWrap/>
            <w:vAlign w:val="bottom"/>
            <w:hideMark/>
          </w:tcPr>
          <w:p w:rsidR="00560771" w:rsidRPr="00560771" w:rsidRDefault="00560771"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560771" w:rsidRPr="00560771" w:rsidRDefault="00560771" w:rsidP="00F5430F">
            <w:pPr>
              <w:spacing w:line="240" w:lineRule="auto"/>
              <w:jc w:val="right"/>
              <w:rPr>
                <w:rFonts w:eastAsia="Times New Roman"/>
                <w:color w:val="000000"/>
                <w:sz w:val="22"/>
                <w:szCs w:val="22"/>
                <w:lang w:bidi="ta-IN"/>
              </w:rPr>
            </w:pP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93530A" w:rsidRDefault="0093530A" w:rsidP="0093530A">
            <w:pPr>
              <w:spacing w:line="240" w:lineRule="auto"/>
              <w:jc w:val="left"/>
              <w:rPr>
                <w:rFonts w:eastAsia="Times New Roman"/>
                <w:b/>
                <w:bCs/>
                <w:color w:val="000000"/>
                <w:sz w:val="22"/>
                <w:szCs w:val="22"/>
                <w:lang w:bidi="ta-IN"/>
              </w:rPr>
            </w:pPr>
            <w:r w:rsidRPr="0093530A">
              <w:rPr>
                <w:rFonts w:eastAsia="Times New Roman"/>
                <w:b/>
                <w:bCs/>
                <w:color w:val="000000"/>
                <w:sz w:val="22"/>
                <w:szCs w:val="22"/>
                <w:lang w:bidi="ta-IN"/>
              </w:rPr>
              <w:t>Operating profit before value added tax (VAT)  on financial services</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6,689,124 </w:t>
            </w: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5,737,684 </w:t>
            </w: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16.58 </w:t>
            </w: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7,303,041 </w:t>
            </w: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6,259,542 </w:t>
            </w: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16.67 </w:t>
            </w: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93530A" w:rsidRDefault="0093530A" w:rsidP="0093530A">
            <w:pPr>
              <w:spacing w:line="240" w:lineRule="auto"/>
              <w:jc w:val="left"/>
              <w:rPr>
                <w:rFonts w:eastAsia="Times New Roman"/>
                <w:color w:val="000000"/>
                <w:sz w:val="22"/>
                <w:szCs w:val="22"/>
                <w:lang w:bidi="ta-IN"/>
              </w:rPr>
            </w:pPr>
            <w:r w:rsidRPr="0093530A">
              <w:rPr>
                <w:rFonts w:eastAsia="Times New Roman"/>
                <w:color w:val="000000"/>
                <w:sz w:val="22"/>
                <w:szCs w:val="22"/>
                <w:lang w:bidi="ta-IN"/>
              </w:rPr>
              <w:t xml:space="preserve">Less :Value added tax (VAT) on financial services </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546,036 </w:t>
            </w:r>
          </w:p>
        </w:tc>
        <w:tc>
          <w:tcPr>
            <w:tcW w:w="1380" w:type="dxa"/>
            <w:tcBorders>
              <w:top w:val="nil"/>
              <w:left w:val="nil"/>
              <w:bottom w:val="single" w:sz="4"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362,571 </w:t>
            </w: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50.60 </w:t>
            </w:r>
          </w:p>
        </w:tc>
        <w:tc>
          <w:tcPr>
            <w:tcW w:w="1360" w:type="dxa"/>
            <w:tcBorders>
              <w:top w:val="nil"/>
              <w:left w:val="nil"/>
              <w:bottom w:val="single" w:sz="4"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559,964 </w:t>
            </w:r>
          </w:p>
        </w:tc>
        <w:tc>
          <w:tcPr>
            <w:tcW w:w="1480" w:type="dxa"/>
            <w:tcBorders>
              <w:top w:val="nil"/>
              <w:left w:val="nil"/>
              <w:bottom w:val="single" w:sz="4"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372,121 </w:t>
            </w: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50.48 </w:t>
            </w: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93530A" w:rsidRDefault="0093530A" w:rsidP="0093530A">
            <w:pPr>
              <w:spacing w:line="240" w:lineRule="auto"/>
              <w:jc w:val="left"/>
              <w:rPr>
                <w:rFonts w:eastAsia="Times New Roman"/>
                <w:b/>
                <w:bCs/>
                <w:color w:val="000000"/>
                <w:sz w:val="22"/>
                <w:szCs w:val="22"/>
                <w:lang w:bidi="ta-IN"/>
              </w:rPr>
            </w:pPr>
            <w:r w:rsidRPr="0093530A">
              <w:rPr>
                <w:rFonts w:eastAsia="Times New Roman"/>
                <w:b/>
                <w:bCs/>
                <w:color w:val="000000"/>
                <w:sz w:val="22"/>
                <w:szCs w:val="22"/>
                <w:lang w:bidi="ta-IN"/>
              </w:rPr>
              <w:t>Operating profit after value added tax (VAT)  on financial services</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6,143,088 </w:t>
            </w: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5,375,113 </w:t>
            </w:r>
          </w:p>
        </w:tc>
        <w:tc>
          <w:tcPr>
            <w:tcW w:w="1120" w:type="dxa"/>
            <w:tcBorders>
              <w:top w:val="single" w:sz="4" w:space="0" w:color="auto"/>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14.29 </w:t>
            </w: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6,743,077 </w:t>
            </w: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5,887,421 </w:t>
            </w:r>
          </w:p>
        </w:tc>
        <w:tc>
          <w:tcPr>
            <w:tcW w:w="1080" w:type="dxa"/>
            <w:tcBorders>
              <w:top w:val="single" w:sz="4" w:space="0" w:color="auto"/>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14.53 </w:t>
            </w: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Share of profit/(loss) of an associate (net of tax)</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p>
        </w:tc>
        <w:tc>
          <w:tcPr>
            <w:tcW w:w="1300" w:type="dxa"/>
            <w:tcBorders>
              <w:top w:val="nil"/>
              <w:left w:val="nil"/>
              <w:bottom w:val="single" w:sz="4"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   </w:t>
            </w:r>
          </w:p>
        </w:tc>
        <w:tc>
          <w:tcPr>
            <w:tcW w:w="1380" w:type="dxa"/>
            <w:tcBorders>
              <w:top w:val="nil"/>
              <w:left w:val="nil"/>
              <w:bottom w:val="single" w:sz="4"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360" w:type="dxa"/>
            <w:tcBorders>
              <w:top w:val="nil"/>
              <w:left w:val="nil"/>
              <w:bottom w:val="single" w:sz="4"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(36,170)</w:t>
            </w:r>
          </w:p>
        </w:tc>
        <w:tc>
          <w:tcPr>
            <w:tcW w:w="1480" w:type="dxa"/>
            <w:tcBorders>
              <w:top w:val="nil"/>
              <w:left w:val="nil"/>
              <w:bottom w:val="single" w:sz="4"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Profit before income tax</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6,143,088 </w:t>
            </w: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5,375,113 </w:t>
            </w:r>
          </w:p>
        </w:tc>
        <w:tc>
          <w:tcPr>
            <w:tcW w:w="1120" w:type="dxa"/>
            <w:tcBorders>
              <w:top w:val="single" w:sz="4" w:space="0" w:color="auto"/>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14.29 </w:t>
            </w: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6,706,907 </w:t>
            </w: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5,887,421 </w:t>
            </w:r>
          </w:p>
        </w:tc>
        <w:tc>
          <w:tcPr>
            <w:tcW w:w="1080" w:type="dxa"/>
            <w:tcBorders>
              <w:top w:val="single" w:sz="4" w:space="0" w:color="auto"/>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13.92 </w:t>
            </w: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 xml:space="preserve">Less : Income tax expense  </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1,795,734 </w:t>
            </w: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1,622,153 </w:t>
            </w: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10.70 </w:t>
            </w: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1,965,361 </w:t>
            </w: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1,785,879 </w:t>
            </w: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10.05 </w:t>
            </w:r>
          </w:p>
        </w:tc>
      </w:tr>
      <w:tr w:rsidR="0093530A" w:rsidRPr="00560771" w:rsidTr="00F5430F">
        <w:trPr>
          <w:trHeight w:val="315"/>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 xml:space="preserve">Profit for the year  </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4,347,354 </w:t>
            </w:r>
          </w:p>
        </w:tc>
        <w:tc>
          <w:tcPr>
            <w:tcW w:w="138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3,752,960 </w:t>
            </w:r>
          </w:p>
        </w:tc>
        <w:tc>
          <w:tcPr>
            <w:tcW w:w="112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15.84 </w:t>
            </w:r>
          </w:p>
        </w:tc>
        <w:tc>
          <w:tcPr>
            <w:tcW w:w="136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4,741,546 </w:t>
            </w:r>
          </w:p>
        </w:tc>
        <w:tc>
          <w:tcPr>
            <w:tcW w:w="148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4,101,542 </w:t>
            </w:r>
          </w:p>
        </w:tc>
        <w:tc>
          <w:tcPr>
            <w:tcW w:w="108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15.60 </w:t>
            </w:r>
          </w:p>
        </w:tc>
      </w:tr>
      <w:tr w:rsidR="0093530A" w:rsidRPr="00560771" w:rsidTr="00F5430F">
        <w:trPr>
          <w:trHeight w:val="21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 xml:space="preserve">Profit attributable to </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r>
      <w:tr w:rsidR="0093530A" w:rsidRPr="00560771" w:rsidTr="00F5430F">
        <w:trPr>
          <w:trHeight w:val="105"/>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Equity holders of the company</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4,347,354 </w:t>
            </w: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3,752,960 </w:t>
            </w: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15.84 </w:t>
            </w: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4,708,130 </w:t>
            </w: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4,101,542 </w:t>
            </w: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14.79 </w:t>
            </w: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 xml:space="preserve">Non Controlling Interests </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33,416 </w:t>
            </w: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r>
      <w:tr w:rsidR="0093530A" w:rsidRPr="00560771" w:rsidTr="00F5430F">
        <w:trPr>
          <w:trHeight w:val="315"/>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 xml:space="preserve">Profit for the year  </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4,347,354 </w:t>
            </w:r>
          </w:p>
        </w:tc>
        <w:tc>
          <w:tcPr>
            <w:tcW w:w="138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3,752,960 </w:t>
            </w:r>
          </w:p>
        </w:tc>
        <w:tc>
          <w:tcPr>
            <w:tcW w:w="112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15.84 </w:t>
            </w:r>
          </w:p>
        </w:tc>
        <w:tc>
          <w:tcPr>
            <w:tcW w:w="136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4,741,546 </w:t>
            </w:r>
          </w:p>
        </w:tc>
        <w:tc>
          <w:tcPr>
            <w:tcW w:w="148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4,101,542 </w:t>
            </w:r>
          </w:p>
        </w:tc>
        <w:tc>
          <w:tcPr>
            <w:tcW w:w="1080" w:type="dxa"/>
            <w:tcBorders>
              <w:top w:val="single" w:sz="4" w:space="0" w:color="auto"/>
              <w:left w:val="nil"/>
              <w:bottom w:val="single" w:sz="8" w:space="0" w:color="auto"/>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15.60 </w:t>
            </w:r>
          </w:p>
        </w:tc>
      </w:tr>
      <w:tr w:rsidR="0093530A" w:rsidRPr="00560771" w:rsidTr="00F5430F">
        <w:trPr>
          <w:trHeight w:val="18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b/>
                <w:bCs/>
                <w:color w:val="000000"/>
                <w:sz w:val="22"/>
                <w:szCs w:val="22"/>
                <w:lang w:bidi="ta-IN"/>
              </w:rPr>
            </w:pPr>
            <w:r w:rsidRPr="00560771">
              <w:rPr>
                <w:rFonts w:eastAsia="Times New Roman"/>
                <w:b/>
                <w:bCs/>
                <w:color w:val="000000"/>
                <w:sz w:val="22"/>
                <w:szCs w:val="22"/>
                <w:lang w:bidi="ta-IN"/>
              </w:rPr>
              <w:t>Earnings per Share</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FF0000"/>
                <w:sz w:val="22"/>
                <w:szCs w:val="22"/>
                <w:lang w:bidi="ta-IN"/>
              </w:rPr>
            </w:pP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FF0000"/>
                <w:sz w:val="22"/>
                <w:szCs w:val="22"/>
                <w:lang w:bidi="ta-IN"/>
              </w:rPr>
            </w:pP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FF0000"/>
                <w:sz w:val="22"/>
                <w:szCs w:val="22"/>
                <w:lang w:bidi="ta-IN"/>
              </w:rPr>
            </w:pP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FF0000"/>
                <w:sz w:val="22"/>
                <w:szCs w:val="22"/>
                <w:lang w:bidi="ta-IN"/>
              </w:rPr>
            </w:pP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FF0000"/>
                <w:sz w:val="22"/>
                <w:szCs w:val="22"/>
                <w:lang w:bidi="ta-IN"/>
              </w:rPr>
            </w:pP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FF0000"/>
                <w:sz w:val="22"/>
                <w:szCs w:val="22"/>
                <w:lang w:bidi="ta-IN"/>
              </w:rPr>
            </w:pP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Basic earnings per share (Rs.)</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FFFFFF"/>
                <w:sz w:val="22"/>
                <w:szCs w:val="22"/>
                <w:lang w:bidi="ta-IN"/>
              </w:rPr>
            </w:pPr>
            <w:r w:rsidRPr="00560771">
              <w:rPr>
                <w:rFonts w:eastAsia="Times New Roman"/>
                <w:b/>
                <w:bCs/>
                <w:color w:val="FFFFFF"/>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FFFFFF"/>
                <w:sz w:val="22"/>
                <w:szCs w:val="22"/>
                <w:lang w:bidi="ta-IN"/>
              </w:rPr>
            </w:pPr>
            <w:r w:rsidRPr="00560771">
              <w:rPr>
                <w:rFonts w:eastAsia="Times New Roman"/>
                <w:color w:val="FFFFFF"/>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FFFFFF"/>
                <w:sz w:val="22"/>
                <w:szCs w:val="22"/>
                <w:lang w:bidi="ta-IN"/>
              </w:rPr>
            </w:pP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2.98 </w:t>
            </w: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2.60 </w:t>
            </w: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14.79 </w:t>
            </w:r>
          </w:p>
        </w:tc>
      </w:tr>
      <w:tr w:rsidR="0093530A" w:rsidRPr="00560771" w:rsidTr="00F5430F">
        <w:trPr>
          <w:trHeight w:val="300"/>
        </w:trPr>
        <w:tc>
          <w:tcPr>
            <w:tcW w:w="5420"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r w:rsidRPr="00560771">
              <w:rPr>
                <w:rFonts w:eastAsia="Times New Roman"/>
                <w:color w:val="000000"/>
                <w:sz w:val="22"/>
                <w:szCs w:val="22"/>
                <w:lang w:bidi="ta-IN"/>
              </w:rPr>
              <w:t>Dividend per Ordinary share (Rs.)</w:t>
            </w:r>
          </w:p>
        </w:tc>
        <w:tc>
          <w:tcPr>
            <w:tcW w:w="271" w:type="dxa"/>
            <w:tcBorders>
              <w:top w:val="nil"/>
              <w:left w:val="nil"/>
              <w:bottom w:val="nil"/>
              <w:right w:val="nil"/>
            </w:tcBorders>
            <w:shd w:val="clear" w:color="auto" w:fill="auto"/>
            <w:noWrap/>
            <w:vAlign w:val="bottom"/>
            <w:hideMark/>
          </w:tcPr>
          <w:p w:rsidR="0093530A" w:rsidRPr="00560771" w:rsidRDefault="0093530A" w:rsidP="005607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000000"/>
                <w:sz w:val="22"/>
                <w:szCs w:val="22"/>
                <w:lang w:bidi="ta-IN"/>
              </w:rPr>
            </w:pPr>
            <w:r w:rsidRPr="00560771">
              <w:rPr>
                <w:rFonts w:eastAsia="Times New Roman"/>
                <w:b/>
                <w:bCs/>
                <w:color w:val="000000"/>
                <w:sz w:val="22"/>
                <w:szCs w:val="22"/>
                <w:lang w:bidi="ta-IN"/>
              </w:rPr>
              <w:t xml:space="preserve">            1.25 </w:t>
            </w:r>
          </w:p>
        </w:tc>
        <w:tc>
          <w:tcPr>
            <w:tcW w:w="13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1.25 </w:t>
            </w:r>
          </w:p>
        </w:tc>
        <w:tc>
          <w:tcPr>
            <w:tcW w:w="112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000000"/>
                <w:sz w:val="22"/>
                <w:szCs w:val="22"/>
                <w:lang w:bidi="ta-IN"/>
              </w:rPr>
            </w:pPr>
            <w:r w:rsidRPr="005607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b/>
                <w:bCs/>
                <w:color w:val="FFFFFF"/>
                <w:sz w:val="22"/>
                <w:szCs w:val="22"/>
                <w:lang w:bidi="ta-IN"/>
              </w:rPr>
            </w:pPr>
            <w:r w:rsidRPr="00560771">
              <w:rPr>
                <w:rFonts w:eastAsia="Times New Roman"/>
                <w:b/>
                <w:bCs/>
                <w:color w:val="FFFFFF"/>
                <w:sz w:val="22"/>
                <w:szCs w:val="22"/>
                <w:lang w:bidi="ta-IN"/>
              </w:rPr>
              <w:t xml:space="preserve">             1.25 </w:t>
            </w:r>
          </w:p>
        </w:tc>
        <w:tc>
          <w:tcPr>
            <w:tcW w:w="14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FFFFFF"/>
                <w:sz w:val="22"/>
                <w:szCs w:val="22"/>
                <w:lang w:bidi="ta-IN"/>
              </w:rPr>
            </w:pPr>
            <w:r w:rsidRPr="00560771">
              <w:rPr>
                <w:rFonts w:eastAsia="Times New Roman"/>
                <w:color w:val="FFFFFF"/>
                <w:sz w:val="22"/>
                <w:szCs w:val="22"/>
                <w:lang w:bidi="ta-IN"/>
              </w:rPr>
              <w:t xml:space="preserve">                1.25 </w:t>
            </w:r>
          </w:p>
        </w:tc>
        <w:tc>
          <w:tcPr>
            <w:tcW w:w="1080" w:type="dxa"/>
            <w:tcBorders>
              <w:top w:val="nil"/>
              <w:left w:val="nil"/>
              <w:bottom w:val="nil"/>
              <w:right w:val="nil"/>
            </w:tcBorders>
            <w:shd w:val="clear" w:color="auto" w:fill="auto"/>
            <w:noWrap/>
            <w:vAlign w:val="bottom"/>
            <w:hideMark/>
          </w:tcPr>
          <w:p w:rsidR="0093530A" w:rsidRPr="00560771" w:rsidRDefault="0093530A" w:rsidP="00F5430F">
            <w:pPr>
              <w:spacing w:line="240" w:lineRule="auto"/>
              <w:jc w:val="right"/>
              <w:rPr>
                <w:rFonts w:eastAsia="Times New Roman"/>
                <w:color w:val="FFFFFF"/>
                <w:sz w:val="22"/>
                <w:szCs w:val="22"/>
                <w:lang w:bidi="ta-IN"/>
              </w:rPr>
            </w:pPr>
          </w:p>
        </w:tc>
      </w:tr>
    </w:tbl>
    <w:p w:rsidR="00560771" w:rsidRDefault="00560771" w:rsidP="00CF2048"/>
    <w:p w:rsidR="005E15BE" w:rsidRPr="005E15BE" w:rsidRDefault="00560771">
      <w:r>
        <w:br w:type="page"/>
      </w:r>
      <w:r w:rsidR="005E15BE" w:rsidRPr="005E15BE">
        <w:rPr>
          <w:rFonts w:ascii="Book Antiqua" w:eastAsia="Times New Roman" w:hAnsi="Book Antiqua" w:cs="Arial"/>
          <w:b/>
          <w:bCs/>
          <w:sz w:val="32"/>
          <w:szCs w:val="28"/>
          <w:lang w:bidi="ta-IN"/>
        </w:rPr>
        <w:lastRenderedPageBreak/>
        <w:t>SELECTED PERFORMANCE INDICATORS</w:t>
      </w:r>
    </w:p>
    <w:tbl>
      <w:tblPr>
        <w:tblW w:w="13466" w:type="dxa"/>
        <w:tblInd w:w="93" w:type="dxa"/>
        <w:tblLook w:val="04A0" w:firstRow="1" w:lastRow="0" w:firstColumn="1" w:lastColumn="0" w:noHBand="0" w:noVBand="1"/>
      </w:tblPr>
      <w:tblGrid>
        <w:gridCol w:w="10656"/>
        <w:gridCol w:w="1405"/>
        <w:gridCol w:w="1405"/>
      </w:tblGrid>
      <w:tr w:rsidR="005E15BE" w:rsidRPr="005E15BE" w:rsidTr="00B71485">
        <w:trPr>
          <w:trHeight w:val="345"/>
          <w:tblHeader/>
        </w:trPr>
        <w:tc>
          <w:tcPr>
            <w:tcW w:w="10656" w:type="dxa"/>
            <w:tcBorders>
              <w:top w:val="single" w:sz="4" w:space="0" w:color="auto"/>
              <w:left w:val="single" w:sz="4" w:space="0" w:color="auto"/>
              <w:bottom w:val="nil"/>
              <w:right w:val="single" w:sz="4" w:space="0" w:color="auto"/>
            </w:tcBorders>
            <w:shd w:val="clear" w:color="auto" w:fill="auto"/>
            <w:noWrap/>
            <w:vAlign w:val="bottom"/>
            <w:hideMark/>
          </w:tcPr>
          <w:p w:rsidR="005E15BE" w:rsidRPr="005E15BE" w:rsidRDefault="005E15BE" w:rsidP="005E15BE">
            <w:pPr>
              <w:spacing w:line="240" w:lineRule="auto"/>
              <w:jc w:val="left"/>
              <w:rPr>
                <w:rFonts w:ascii="Book Antiqua" w:eastAsia="Times New Roman" w:hAnsi="Book Antiqua" w:cs="Arial"/>
                <w:lang w:bidi="ta-IN"/>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5BE" w:rsidRPr="005E15BE" w:rsidRDefault="005E15BE" w:rsidP="005E15BE">
            <w:pPr>
              <w:spacing w:line="240" w:lineRule="auto"/>
              <w:jc w:val="center"/>
              <w:rPr>
                <w:rFonts w:ascii="Book Antiqua" w:eastAsia="Times New Roman" w:hAnsi="Book Antiqua" w:cs="Arial"/>
                <w:b/>
                <w:bCs/>
                <w:lang w:bidi="ta-IN"/>
              </w:rPr>
            </w:pPr>
            <w:r w:rsidRPr="005E15BE">
              <w:rPr>
                <w:rFonts w:ascii="Book Antiqua" w:eastAsia="Times New Roman" w:hAnsi="Book Antiqua" w:cs="Arial"/>
                <w:b/>
                <w:bCs/>
                <w:lang w:bidi="ta-IN"/>
              </w:rPr>
              <w:t>Company</w:t>
            </w:r>
          </w:p>
        </w:tc>
      </w:tr>
      <w:tr w:rsidR="005E15BE" w:rsidRPr="005E15BE" w:rsidTr="00B71485">
        <w:trPr>
          <w:trHeight w:val="330"/>
          <w:tblHeader/>
        </w:trPr>
        <w:tc>
          <w:tcPr>
            <w:tcW w:w="10656" w:type="dxa"/>
            <w:tcBorders>
              <w:top w:val="nil"/>
              <w:left w:val="single" w:sz="4" w:space="0" w:color="auto"/>
              <w:bottom w:val="nil"/>
              <w:right w:val="single" w:sz="4" w:space="0" w:color="auto"/>
            </w:tcBorders>
            <w:shd w:val="clear" w:color="auto" w:fill="auto"/>
            <w:noWrap/>
            <w:vAlign w:val="bottom"/>
            <w:hideMark/>
          </w:tcPr>
          <w:p w:rsidR="005E15BE" w:rsidRPr="005E15BE" w:rsidRDefault="005E15BE" w:rsidP="005E15BE">
            <w:pPr>
              <w:spacing w:line="240" w:lineRule="auto"/>
              <w:jc w:val="left"/>
              <w:rPr>
                <w:rFonts w:ascii="Book Antiqua" w:eastAsia="Times New Roman" w:hAnsi="Book Antiqua" w:cs="Arial"/>
                <w:lang w:bidi="ta-IN"/>
              </w:rPr>
            </w:pPr>
          </w:p>
        </w:tc>
        <w:tc>
          <w:tcPr>
            <w:tcW w:w="1405" w:type="dxa"/>
            <w:tcBorders>
              <w:top w:val="single" w:sz="4" w:space="0" w:color="auto"/>
              <w:left w:val="single" w:sz="4" w:space="0" w:color="auto"/>
              <w:bottom w:val="nil"/>
              <w:right w:val="single" w:sz="4" w:space="0" w:color="auto"/>
            </w:tcBorders>
            <w:shd w:val="clear" w:color="000000" w:fill="D8D8D8"/>
            <w:noWrap/>
            <w:vAlign w:val="bottom"/>
            <w:hideMark/>
          </w:tcPr>
          <w:p w:rsidR="005E15BE" w:rsidRPr="005E15BE" w:rsidRDefault="005E15BE" w:rsidP="005E15BE">
            <w:pPr>
              <w:spacing w:line="240" w:lineRule="auto"/>
              <w:jc w:val="center"/>
              <w:rPr>
                <w:rFonts w:ascii="Book Antiqua" w:eastAsia="Times New Roman" w:hAnsi="Book Antiqua" w:cs="Arial"/>
                <w:b/>
                <w:bCs/>
                <w:lang w:bidi="ta-IN"/>
              </w:rPr>
            </w:pPr>
            <w:r w:rsidRPr="005E15BE">
              <w:rPr>
                <w:rFonts w:ascii="Book Antiqua" w:eastAsia="Times New Roman" w:hAnsi="Book Antiqua" w:cs="Arial"/>
                <w:b/>
                <w:bCs/>
                <w:lang w:bidi="ta-IN"/>
              </w:rPr>
              <w:t xml:space="preserve">As at </w:t>
            </w:r>
          </w:p>
        </w:tc>
        <w:tc>
          <w:tcPr>
            <w:tcW w:w="1405" w:type="dxa"/>
            <w:tcBorders>
              <w:top w:val="single" w:sz="4" w:space="0" w:color="auto"/>
              <w:left w:val="single" w:sz="4" w:space="0" w:color="auto"/>
              <w:bottom w:val="nil"/>
              <w:right w:val="single" w:sz="4" w:space="0" w:color="auto"/>
            </w:tcBorders>
            <w:shd w:val="clear" w:color="auto" w:fill="auto"/>
            <w:noWrap/>
            <w:vAlign w:val="bottom"/>
            <w:hideMark/>
          </w:tcPr>
          <w:p w:rsidR="005E15BE" w:rsidRPr="005E15BE" w:rsidRDefault="005E15BE" w:rsidP="005E15BE">
            <w:pPr>
              <w:spacing w:line="240" w:lineRule="auto"/>
              <w:jc w:val="center"/>
              <w:rPr>
                <w:rFonts w:ascii="Book Antiqua" w:eastAsia="Times New Roman" w:hAnsi="Book Antiqua" w:cs="Arial"/>
                <w:b/>
                <w:bCs/>
                <w:lang w:bidi="ta-IN"/>
              </w:rPr>
            </w:pPr>
            <w:r w:rsidRPr="005E15BE">
              <w:rPr>
                <w:rFonts w:ascii="Book Antiqua" w:eastAsia="Times New Roman" w:hAnsi="Book Antiqua" w:cs="Arial"/>
                <w:b/>
                <w:bCs/>
                <w:lang w:bidi="ta-IN"/>
              </w:rPr>
              <w:t xml:space="preserve">As at </w:t>
            </w:r>
          </w:p>
        </w:tc>
      </w:tr>
      <w:tr w:rsidR="005E15BE" w:rsidRPr="005E15BE" w:rsidTr="00B71485">
        <w:trPr>
          <w:trHeight w:val="330"/>
          <w:tblHeader/>
        </w:trPr>
        <w:tc>
          <w:tcPr>
            <w:tcW w:w="10656" w:type="dxa"/>
            <w:tcBorders>
              <w:top w:val="nil"/>
              <w:left w:val="single" w:sz="4" w:space="0" w:color="auto"/>
              <w:bottom w:val="nil"/>
              <w:right w:val="single" w:sz="4" w:space="0" w:color="auto"/>
            </w:tcBorders>
            <w:shd w:val="clear" w:color="auto" w:fill="auto"/>
            <w:noWrap/>
            <w:vAlign w:val="bottom"/>
            <w:hideMark/>
          </w:tcPr>
          <w:p w:rsidR="005E15BE" w:rsidRPr="005E15BE" w:rsidRDefault="005E15BE" w:rsidP="005E15BE">
            <w:pPr>
              <w:spacing w:line="240" w:lineRule="auto"/>
              <w:jc w:val="left"/>
              <w:rPr>
                <w:rFonts w:ascii="Book Antiqua" w:eastAsia="Times New Roman" w:hAnsi="Book Antiqua" w:cs="Arial"/>
                <w:lang w:bidi="ta-IN"/>
              </w:rPr>
            </w:pPr>
          </w:p>
        </w:tc>
        <w:tc>
          <w:tcPr>
            <w:tcW w:w="1405" w:type="dxa"/>
            <w:tcBorders>
              <w:top w:val="nil"/>
              <w:left w:val="single" w:sz="4" w:space="0" w:color="auto"/>
              <w:bottom w:val="nil"/>
              <w:right w:val="single" w:sz="4" w:space="0" w:color="auto"/>
            </w:tcBorders>
            <w:shd w:val="clear" w:color="000000" w:fill="D8D8D8"/>
            <w:noWrap/>
            <w:vAlign w:val="bottom"/>
            <w:hideMark/>
          </w:tcPr>
          <w:p w:rsidR="005E15BE" w:rsidRPr="005E15BE" w:rsidRDefault="005E15BE" w:rsidP="005E15BE">
            <w:pPr>
              <w:spacing w:line="240" w:lineRule="auto"/>
              <w:jc w:val="center"/>
              <w:rPr>
                <w:rFonts w:ascii="Book Antiqua" w:eastAsia="Times New Roman" w:hAnsi="Book Antiqua" w:cs="Arial"/>
                <w:b/>
                <w:bCs/>
                <w:lang w:bidi="ta-IN"/>
              </w:rPr>
            </w:pPr>
            <w:r w:rsidRPr="005E15BE">
              <w:rPr>
                <w:rFonts w:ascii="Book Antiqua" w:eastAsia="Times New Roman" w:hAnsi="Book Antiqua" w:cs="Arial"/>
                <w:b/>
                <w:bCs/>
                <w:lang w:bidi="ta-IN"/>
              </w:rPr>
              <w:t>31.03.2016</w:t>
            </w:r>
          </w:p>
        </w:tc>
        <w:tc>
          <w:tcPr>
            <w:tcW w:w="1405" w:type="dxa"/>
            <w:tcBorders>
              <w:top w:val="nil"/>
              <w:left w:val="single" w:sz="4" w:space="0" w:color="auto"/>
              <w:bottom w:val="nil"/>
              <w:right w:val="single" w:sz="4" w:space="0" w:color="auto"/>
            </w:tcBorders>
            <w:shd w:val="clear" w:color="auto" w:fill="auto"/>
            <w:noWrap/>
            <w:vAlign w:val="bottom"/>
            <w:hideMark/>
          </w:tcPr>
          <w:p w:rsidR="005E15BE" w:rsidRPr="005E15BE" w:rsidRDefault="005E15BE" w:rsidP="005E15BE">
            <w:pPr>
              <w:spacing w:line="240" w:lineRule="auto"/>
              <w:jc w:val="center"/>
              <w:rPr>
                <w:rFonts w:ascii="Book Antiqua" w:eastAsia="Times New Roman" w:hAnsi="Book Antiqua" w:cs="Arial"/>
                <w:b/>
                <w:bCs/>
                <w:lang w:bidi="ta-IN"/>
              </w:rPr>
            </w:pPr>
            <w:r w:rsidRPr="005E15BE">
              <w:rPr>
                <w:rFonts w:ascii="Book Antiqua" w:eastAsia="Times New Roman" w:hAnsi="Book Antiqua" w:cs="Arial"/>
                <w:b/>
                <w:bCs/>
                <w:lang w:bidi="ta-IN"/>
              </w:rPr>
              <w:t>31.03.2015</w:t>
            </w:r>
          </w:p>
        </w:tc>
      </w:tr>
      <w:tr w:rsidR="00F5430F" w:rsidRPr="005E15BE" w:rsidTr="00B71485">
        <w:trPr>
          <w:trHeight w:val="330"/>
          <w:tblHeader/>
        </w:trPr>
        <w:tc>
          <w:tcPr>
            <w:tcW w:w="10656" w:type="dxa"/>
            <w:tcBorders>
              <w:top w:val="nil"/>
              <w:left w:val="single" w:sz="4" w:space="0" w:color="auto"/>
              <w:bottom w:val="nil"/>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p>
        </w:tc>
        <w:tc>
          <w:tcPr>
            <w:tcW w:w="1405" w:type="dxa"/>
            <w:tcBorders>
              <w:top w:val="nil"/>
              <w:left w:val="single" w:sz="4" w:space="0" w:color="auto"/>
              <w:bottom w:val="nil"/>
              <w:right w:val="single" w:sz="4" w:space="0" w:color="auto"/>
            </w:tcBorders>
            <w:shd w:val="clear" w:color="000000" w:fill="D8D8D8"/>
            <w:noWrap/>
            <w:vAlign w:val="bottom"/>
            <w:hideMark/>
          </w:tcPr>
          <w:p w:rsidR="00F5430F" w:rsidRPr="005E15BE" w:rsidRDefault="00F5430F" w:rsidP="00742279">
            <w:pPr>
              <w:spacing w:line="240" w:lineRule="auto"/>
              <w:jc w:val="center"/>
              <w:rPr>
                <w:rFonts w:ascii="Book Antiqua" w:eastAsia="Times New Roman" w:hAnsi="Book Antiqua" w:cs="Arial"/>
                <w:b/>
                <w:bCs/>
                <w:lang w:bidi="ta-IN"/>
              </w:rPr>
            </w:pPr>
            <w:r w:rsidRPr="00560771">
              <w:rPr>
                <w:rFonts w:eastAsia="Times New Roman"/>
                <w:b/>
                <w:bCs/>
                <w:color w:val="000000"/>
                <w:sz w:val="22"/>
                <w:szCs w:val="22"/>
                <w:lang w:bidi="ta-IN"/>
              </w:rPr>
              <w:t>Rs. '000</w:t>
            </w:r>
          </w:p>
        </w:tc>
        <w:tc>
          <w:tcPr>
            <w:tcW w:w="1405" w:type="dxa"/>
            <w:tcBorders>
              <w:top w:val="nil"/>
              <w:left w:val="single" w:sz="4" w:space="0" w:color="auto"/>
              <w:bottom w:val="nil"/>
              <w:right w:val="single" w:sz="4" w:space="0" w:color="auto"/>
            </w:tcBorders>
            <w:shd w:val="clear" w:color="auto" w:fill="auto"/>
            <w:noWrap/>
            <w:vAlign w:val="bottom"/>
            <w:hideMark/>
          </w:tcPr>
          <w:p w:rsidR="00F5430F" w:rsidRPr="005E15BE" w:rsidRDefault="00F5430F" w:rsidP="00742279">
            <w:pPr>
              <w:spacing w:line="240" w:lineRule="auto"/>
              <w:jc w:val="center"/>
              <w:rPr>
                <w:rFonts w:ascii="Book Antiqua" w:eastAsia="Times New Roman" w:hAnsi="Book Antiqua" w:cs="Arial"/>
                <w:b/>
                <w:bCs/>
                <w:lang w:bidi="ta-IN"/>
              </w:rPr>
            </w:pPr>
            <w:r w:rsidRPr="00560771">
              <w:rPr>
                <w:rFonts w:eastAsia="Times New Roman"/>
                <w:b/>
                <w:bCs/>
                <w:color w:val="000000"/>
                <w:sz w:val="22"/>
                <w:szCs w:val="22"/>
                <w:lang w:bidi="ta-IN"/>
              </w:rPr>
              <w:t>Rs. '000</w:t>
            </w:r>
          </w:p>
        </w:tc>
      </w:tr>
      <w:tr w:rsidR="00F5430F" w:rsidRPr="005E15BE" w:rsidTr="00B71485">
        <w:trPr>
          <w:trHeight w:val="345"/>
        </w:trPr>
        <w:tc>
          <w:tcPr>
            <w:tcW w:w="10656" w:type="dxa"/>
            <w:tcBorders>
              <w:top w:val="nil"/>
              <w:left w:val="single" w:sz="4" w:space="0" w:color="auto"/>
              <w:bottom w:val="single" w:sz="8"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Pr>
                <w:rFonts w:ascii="Book Antiqua" w:eastAsia="Times New Roman" w:hAnsi="Book Antiqua" w:cs="Arial"/>
                <w:b/>
                <w:bCs/>
                <w:lang w:bidi="ta-IN"/>
              </w:rPr>
              <w:t xml:space="preserve">Regulatory </w:t>
            </w:r>
            <w:r w:rsidRPr="005E15BE">
              <w:rPr>
                <w:rFonts w:ascii="Book Antiqua" w:eastAsia="Times New Roman" w:hAnsi="Book Antiqua" w:cs="Arial"/>
                <w:b/>
                <w:bCs/>
                <w:lang w:bidi="ta-IN"/>
              </w:rPr>
              <w:t>Capital Adequacy</w:t>
            </w:r>
          </w:p>
        </w:tc>
        <w:tc>
          <w:tcPr>
            <w:tcW w:w="1405" w:type="dxa"/>
            <w:tcBorders>
              <w:top w:val="nil"/>
              <w:left w:val="single" w:sz="4" w:space="0" w:color="auto"/>
              <w:bottom w:val="single" w:sz="8" w:space="0" w:color="auto"/>
              <w:right w:val="single" w:sz="4" w:space="0" w:color="auto"/>
            </w:tcBorders>
            <w:shd w:val="clear" w:color="000000" w:fill="D8D8D8"/>
            <w:noWrap/>
            <w:vAlign w:val="bottom"/>
            <w:hideMark/>
          </w:tcPr>
          <w:p w:rsidR="00F5430F" w:rsidRPr="005E15BE" w:rsidRDefault="00F5430F" w:rsidP="00F5430F">
            <w:pPr>
              <w:spacing w:line="240" w:lineRule="auto"/>
              <w:jc w:val="center"/>
              <w:rPr>
                <w:rFonts w:ascii="Book Antiqua" w:eastAsia="Times New Roman" w:hAnsi="Book Antiqua" w:cs="Arial"/>
                <w:b/>
                <w:bCs/>
                <w:lang w:bidi="ta-IN"/>
              </w:rPr>
            </w:pPr>
          </w:p>
        </w:tc>
        <w:tc>
          <w:tcPr>
            <w:tcW w:w="1405" w:type="dxa"/>
            <w:tcBorders>
              <w:top w:val="nil"/>
              <w:left w:val="single" w:sz="4" w:space="0" w:color="auto"/>
              <w:bottom w:val="single" w:sz="8" w:space="0" w:color="auto"/>
              <w:right w:val="single" w:sz="4" w:space="0" w:color="auto"/>
            </w:tcBorders>
            <w:shd w:val="clear" w:color="auto" w:fill="auto"/>
            <w:noWrap/>
            <w:vAlign w:val="bottom"/>
            <w:hideMark/>
          </w:tcPr>
          <w:p w:rsidR="00F5430F" w:rsidRPr="005E15BE" w:rsidRDefault="00F5430F" w:rsidP="00F5430F">
            <w:pPr>
              <w:spacing w:line="240" w:lineRule="auto"/>
              <w:jc w:val="center"/>
              <w:rPr>
                <w:rFonts w:ascii="Book Antiqua" w:eastAsia="Times New Roman" w:hAnsi="Book Antiqua" w:cs="Arial"/>
                <w:b/>
                <w:bCs/>
                <w:lang w:bidi="ta-IN"/>
              </w:rPr>
            </w:pPr>
          </w:p>
        </w:tc>
      </w:tr>
      <w:tr w:rsidR="00F5430F" w:rsidRPr="005E15BE" w:rsidTr="00B71485">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sidRPr="005E15BE">
              <w:rPr>
                <w:rFonts w:ascii="Book Antiqua" w:eastAsia="Times New Roman" w:hAnsi="Book Antiqua" w:cs="Arial"/>
                <w:b/>
                <w:bCs/>
                <w:lang w:bidi="ta-IN"/>
              </w:rPr>
              <w:t>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 xml:space="preserve">Core Capital (Tier1 Capital) </w:t>
            </w:r>
            <w:r>
              <w:rPr>
                <w:rFonts w:ascii="Book Antiqua" w:eastAsia="Times New Roman" w:hAnsi="Book Antiqua" w:cs="Arial"/>
                <w:lang w:bidi="ta-IN"/>
              </w:rPr>
              <w:t>–</w:t>
            </w:r>
            <w:r w:rsidRPr="005E15BE">
              <w:rPr>
                <w:rFonts w:ascii="Book Antiqua" w:eastAsia="Times New Roman" w:hAnsi="Book Antiqua" w:cs="Arial"/>
                <w:lang w:bidi="ta-IN"/>
              </w:rPr>
              <w:t xml:space="preserve"> </w:t>
            </w:r>
            <w:r>
              <w:rPr>
                <w:rFonts w:ascii="Book Antiqua" w:eastAsia="Times New Roman" w:hAnsi="Book Antiqua" w:cs="Arial"/>
                <w:lang w:bidi="ta-IN"/>
              </w:rPr>
              <w:t>(</w:t>
            </w:r>
            <w:r w:rsidRPr="005E15BE">
              <w:rPr>
                <w:rFonts w:ascii="Book Antiqua" w:eastAsia="Times New Roman" w:hAnsi="Book Antiqua" w:cs="Arial"/>
                <w:lang w:bidi="ta-IN"/>
              </w:rPr>
              <w:t>Rs. 000</w:t>
            </w:r>
            <w:r>
              <w:rPr>
                <w:rFonts w:ascii="Book Antiqua" w:eastAsia="Times New Roman" w:hAnsi="Book Antiqua" w:cs="Arial"/>
                <w:lang w:bidi="ta-IN"/>
              </w:rPr>
              <w:t>)</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22,222,893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20,609,895 </w:t>
            </w:r>
          </w:p>
        </w:tc>
      </w:tr>
      <w:tr w:rsidR="00F5430F" w:rsidRPr="005E15BE" w:rsidTr="00F5430F">
        <w:trPr>
          <w:trHeight w:val="330"/>
        </w:trPr>
        <w:tc>
          <w:tcPr>
            <w:tcW w:w="10656" w:type="dxa"/>
            <w:tcBorders>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 xml:space="preserve">Total Capital Base - </w:t>
            </w:r>
            <w:r w:rsidRPr="00F5430F">
              <w:rPr>
                <w:rFonts w:eastAsia="Times New Roman"/>
                <w:color w:val="000000"/>
                <w:sz w:val="22"/>
                <w:szCs w:val="22"/>
                <w:lang w:bidi="ta-IN"/>
              </w:rPr>
              <w:t>Rs. '000</w:t>
            </w:r>
          </w:p>
        </w:tc>
        <w:tc>
          <w:tcPr>
            <w:tcW w:w="1405" w:type="dxa"/>
            <w:tcBorders>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20,616,472 </w:t>
            </w:r>
          </w:p>
        </w:tc>
        <w:tc>
          <w:tcPr>
            <w:tcW w:w="1405"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19,401,709 </w:t>
            </w:r>
          </w:p>
        </w:tc>
      </w:tr>
      <w:tr w:rsidR="00F5430F" w:rsidRPr="005E15BE" w:rsidTr="00F5430F">
        <w:trPr>
          <w:trHeight w:val="330"/>
        </w:trPr>
        <w:tc>
          <w:tcPr>
            <w:tcW w:w="10656" w:type="dxa"/>
            <w:tcBorders>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 xml:space="preserve">Core Capital to Risk Weighted Assets Ratio (Minimum 5%) </w:t>
            </w:r>
          </w:p>
        </w:tc>
        <w:tc>
          <w:tcPr>
            <w:tcW w:w="1405" w:type="dxa"/>
            <w:tcBorders>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19.56%</w:t>
            </w:r>
          </w:p>
        </w:tc>
        <w:tc>
          <w:tcPr>
            <w:tcW w:w="1405"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20.22%</w:t>
            </w:r>
          </w:p>
        </w:tc>
      </w:tr>
      <w:tr w:rsidR="00F5430F" w:rsidRPr="005E15BE" w:rsidTr="00F5430F">
        <w:trPr>
          <w:trHeight w:val="330"/>
        </w:trPr>
        <w:tc>
          <w:tcPr>
            <w:tcW w:w="10656" w:type="dxa"/>
            <w:tcBorders>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 xml:space="preserve">Total Capital to Risk Weighted Assets Ratio (Minimum 10%) </w:t>
            </w:r>
          </w:p>
        </w:tc>
        <w:tc>
          <w:tcPr>
            <w:tcW w:w="1405" w:type="dxa"/>
            <w:tcBorders>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18.14%</w:t>
            </w:r>
          </w:p>
        </w:tc>
        <w:tc>
          <w:tcPr>
            <w:tcW w:w="1405"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19.04%</w:t>
            </w:r>
          </w:p>
        </w:tc>
      </w:tr>
      <w:tr w:rsidR="00F5430F" w:rsidRPr="005E15BE" w:rsidTr="00F5430F">
        <w:trPr>
          <w:trHeight w:val="330"/>
        </w:trPr>
        <w:tc>
          <w:tcPr>
            <w:tcW w:w="10656" w:type="dxa"/>
            <w:tcBorders>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Capital Funds to Total Deposit Liabilities Ratio</w:t>
            </w:r>
          </w:p>
        </w:tc>
        <w:tc>
          <w:tcPr>
            <w:tcW w:w="1405" w:type="dxa"/>
            <w:tcBorders>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144.44%</w:t>
            </w:r>
          </w:p>
        </w:tc>
        <w:tc>
          <w:tcPr>
            <w:tcW w:w="1405"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157.39%</w:t>
            </w:r>
          </w:p>
        </w:tc>
      </w:tr>
      <w:tr w:rsidR="00F5430F" w:rsidRPr="005E15BE" w:rsidTr="00F5430F">
        <w:trPr>
          <w:trHeight w:val="330"/>
        </w:trPr>
        <w:tc>
          <w:tcPr>
            <w:tcW w:w="10656" w:type="dxa"/>
            <w:tcBorders>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p>
        </w:tc>
        <w:tc>
          <w:tcPr>
            <w:tcW w:w="1405" w:type="dxa"/>
            <w:tcBorders>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p>
        </w:tc>
      </w:tr>
      <w:tr w:rsidR="00F5430F" w:rsidRPr="005E15BE" w:rsidTr="00F5430F">
        <w:trPr>
          <w:trHeight w:val="345"/>
        </w:trPr>
        <w:tc>
          <w:tcPr>
            <w:tcW w:w="10656"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sidRPr="005E15BE">
              <w:rPr>
                <w:rFonts w:ascii="Book Antiqua" w:eastAsia="Times New Roman" w:hAnsi="Book Antiqua" w:cs="Arial"/>
                <w:b/>
                <w:bCs/>
                <w:lang w:bidi="ta-IN"/>
              </w:rPr>
              <w:t xml:space="preserve">Asset Quality </w:t>
            </w:r>
            <w:r>
              <w:rPr>
                <w:rFonts w:ascii="Book Antiqua" w:eastAsia="Times New Roman" w:hAnsi="Book Antiqua" w:cs="Arial"/>
                <w:b/>
                <w:bCs/>
                <w:lang w:bidi="ta-IN"/>
              </w:rPr>
              <w:t>(</w:t>
            </w:r>
            <w:r w:rsidRPr="00560771">
              <w:rPr>
                <w:rFonts w:eastAsia="Times New Roman"/>
                <w:b/>
                <w:bCs/>
                <w:color w:val="000000"/>
                <w:sz w:val="22"/>
                <w:szCs w:val="22"/>
                <w:lang w:bidi="ta-IN"/>
              </w:rPr>
              <w:t>Rs. '000</w:t>
            </w:r>
            <w:r>
              <w:rPr>
                <w:rFonts w:eastAsia="Times New Roman"/>
                <w:b/>
                <w:bCs/>
                <w:color w:val="000000"/>
                <w:sz w:val="22"/>
                <w:szCs w:val="22"/>
                <w:lang w:bidi="ta-IN"/>
              </w:rPr>
              <w:t>)</w:t>
            </w:r>
          </w:p>
        </w:tc>
        <w:tc>
          <w:tcPr>
            <w:tcW w:w="1405" w:type="dxa"/>
            <w:tcBorders>
              <w:top w:val="nil"/>
              <w:left w:val="single" w:sz="4" w:space="0" w:color="auto"/>
              <w:bottom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r>
      <w:tr w:rsidR="00F5430F" w:rsidRPr="005E15BE" w:rsidTr="00F5430F">
        <w:trPr>
          <w:trHeight w:val="330"/>
        </w:trPr>
        <w:tc>
          <w:tcPr>
            <w:tcW w:w="10656" w:type="dxa"/>
            <w:tcBorders>
              <w:top w:val="single" w:sz="4" w:space="0" w:color="auto"/>
              <w:left w:val="single" w:sz="4" w:space="0" w:color="auto"/>
              <w:bottom w:val="nil"/>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single" w:sz="4" w:space="0" w:color="auto"/>
              <w:left w:val="single" w:sz="4" w:space="0" w:color="auto"/>
              <w:bottom w:val="nil"/>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single" w:sz="4" w:space="0" w:color="auto"/>
              <w:left w:val="single" w:sz="4" w:space="0" w:color="auto"/>
              <w:bottom w:val="nil"/>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r>
      <w:tr w:rsidR="00F5430F" w:rsidRPr="005E15BE" w:rsidTr="00F5430F">
        <w:trPr>
          <w:trHeight w:val="330"/>
        </w:trPr>
        <w:tc>
          <w:tcPr>
            <w:tcW w:w="10656"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left"/>
              <w:rPr>
                <w:rFonts w:ascii="Book Antiqua" w:eastAsia="Times New Roman" w:hAnsi="Book Antiqua" w:cs="Arial"/>
                <w:lang w:bidi="ta-IN"/>
              </w:rPr>
            </w:pPr>
            <w:r>
              <w:rPr>
                <w:rFonts w:ascii="Book Antiqua" w:eastAsia="Times New Roman" w:hAnsi="Book Antiqua" w:cs="Arial"/>
                <w:lang w:bidi="ta-IN"/>
              </w:rPr>
              <w:t xml:space="preserve">Gross </w:t>
            </w:r>
            <w:r w:rsidRPr="005E15BE">
              <w:rPr>
                <w:rFonts w:ascii="Book Antiqua" w:eastAsia="Times New Roman" w:hAnsi="Book Antiqua" w:cs="Arial"/>
                <w:lang w:bidi="ta-IN"/>
              </w:rPr>
              <w:t xml:space="preserve">Non- Performing </w:t>
            </w:r>
            <w:r>
              <w:rPr>
                <w:rFonts w:ascii="Book Antiqua" w:eastAsia="Times New Roman" w:hAnsi="Book Antiqua" w:cs="Arial"/>
                <w:lang w:bidi="ta-IN"/>
              </w:rPr>
              <w:t xml:space="preserve">Advances </w:t>
            </w:r>
            <w:r w:rsidRPr="00F5430F">
              <w:rPr>
                <w:rFonts w:ascii="Book Antiqua" w:eastAsia="Times New Roman" w:hAnsi="Book Antiqua" w:cs="Arial"/>
                <w:lang w:bidi="ta-IN"/>
              </w:rPr>
              <w:t>(</w:t>
            </w:r>
            <w:r w:rsidRPr="00F5430F">
              <w:rPr>
                <w:rFonts w:eastAsia="Times New Roman"/>
                <w:color w:val="000000"/>
                <w:sz w:val="22"/>
                <w:szCs w:val="22"/>
                <w:lang w:bidi="ta-IN"/>
              </w:rPr>
              <w:t>Rs. '000</w:t>
            </w:r>
            <w:r w:rsidRPr="00F5430F">
              <w:rPr>
                <w:rFonts w:ascii="Book Antiqua" w:eastAsia="Times New Roman" w:hAnsi="Book Antiqua" w:cs="Arial"/>
                <w:lang w:bidi="ta-IN"/>
              </w:rPr>
              <w:t>)</w:t>
            </w:r>
          </w:p>
        </w:tc>
        <w:tc>
          <w:tcPr>
            <w:tcW w:w="1405" w:type="dxa"/>
            <w:tcBorders>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2,184,935 </w:t>
            </w:r>
          </w:p>
        </w:tc>
        <w:tc>
          <w:tcPr>
            <w:tcW w:w="1405"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2,652,675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Gross Non-Performing Advances Ratio (%)</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1.96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2.63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Net Non-Performing Advances Ratio (%)</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1.40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2.69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p>
        </w:tc>
      </w:tr>
      <w:tr w:rsidR="00F5430F" w:rsidRPr="005E15BE" w:rsidTr="00F5430F">
        <w:trPr>
          <w:trHeight w:val="345"/>
        </w:trPr>
        <w:tc>
          <w:tcPr>
            <w:tcW w:w="10656"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left"/>
              <w:rPr>
                <w:rFonts w:ascii="Book Antiqua" w:eastAsia="Times New Roman" w:hAnsi="Book Antiqua" w:cs="Arial"/>
                <w:b/>
                <w:bCs/>
                <w:lang w:bidi="ta-IN"/>
              </w:rPr>
            </w:pPr>
            <w:r w:rsidRPr="005E15BE">
              <w:rPr>
                <w:rFonts w:ascii="Book Antiqua" w:eastAsia="Times New Roman" w:hAnsi="Book Antiqua" w:cs="Arial"/>
                <w:b/>
                <w:bCs/>
                <w:lang w:bidi="ta-IN"/>
              </w:rPr>
              <w:t>Profitability</w:t>
            </w:r>
          </w:p>
        </w:tc>
        <w:tc>
          <w:tcPr>
            <w:tcW w:w="1405" w:type="dxa"/>
            <w:tcBorders>
              <w:top w:val="nil"/>
              <w:left w:val="single" w:sz="4" w:space="0" w:color="auto"/>
              <w:bottom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r>
      <w:tr w:rsidR="00F5430F" w:rsidRPr="005E15BE" w:rsidTr="00F5430F">
        <w:trPr>
          <w:trHeight w:val="330"/>
        </w:trPr>
        <w:tc>
          <w:tcPr>
            <w:tcW w:w="10656" w:type="dxa"/>
            <w:tcBorders>
              <w:top w:val="single" w:sz="4" w:space="0" w:color="auto"/>
              <w:left w:val="single" w:sz="4" w:space="0" w:color="auto"/>
              <w:bottom w:val="nil"/>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single" w:sz="4" w:space="0" w:color="auto"/>
              <w:left w:val="single" w:sz="4" w:space="0" w:color="auto"/>
              <w:bottom w:val="nil"/>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single" w:sz="4" w:space="0" w:color="auto"/>
              <w:left w:val="single" w:sz="4" w:space="0" w:color="auto"/>
              <w:bottom w:val="nil"/>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Interest Margin</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8.92%</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8.30%</w:t>
            </w:r>
          </w:p>
        </w:tc>
      </w:tr>
      <w:tr w:rsidR="00F5430F" w:rsidRPr="005E15BE" w:rsidTr="00F5430F">
        <w:trPr>
          <w:trHeight w:val="330"/>
        </w:trPr>
        <w:tc>
          <w:tcPr>
            <w:tcW w:w="10656" w:type="dxa"/>
            <w:tcBorders>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Return on Average Assets (before Tax)</w:t>
            </w:r>
          </w:p>
        </w:tc>
        <w:tc>
          <w:tcPr>
            <w:tcW w:w="1405" w:type="dxa"/>
            <w:tcBorders>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5.19%</w:t>
            </w:r>
          </w:p>
        </w:tc>
        <w:tc>
          <w:tcPr>
            <w:tcW w:w="1405"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4.75%</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Return on Average Equity</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19.80%</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18.61%</w:t>
            </w:r>
          </w:p>
        </w:tc>
      </w:tr>
      <w:tr w:rsidR="00F5430F" w:rsidRPr="005E15BE" w:rsidTr="00F5430F">
        <w:trPr>
          <w:trHeight w:val="675"/>
        </w:trPr>
        <w:tc>
          <w:tcPr>
            <w:tcW w:w="10656"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p>
        </w:tc>
        <w:tc>
          <w:tcPr>
            <w:tcW w:w="1405" w:type="dxa"/>
            <w:tcBorders>
              <w:top w:val="nil"/>
              <w:left w:val="single" w:sz="4" w:space="0" w:color="auto"/>
              <w:bottom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p>
        </w:tc>
      </w:tr>
      <w:tr w:rsidR="00F5430F" w:rsidRPr="005E15BE" w:rsidTr="00F5430F">
        <w:trPr>
          <w:trHeight w:val="315"/>
        </w:trPr>
        <w:tc>
          <w:tcPr>
            <w:tcW w:w="10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Pr>
                <w:rFonts w:ascii="Book Antiqua" w:eastAsia="Times New Roman" w:hAnsi="Book Antiqua" w:cs="Arial"/>
                <w:b/>
                <w:bCs/>
                <w:lang w:bidi="ta-IN"/>
              </w:rPr>
              <w:lastRenderedPageBreak/>
              <w:t xml:space="preserve">Regulatory </w:t>
            </w:r>
            <w:r w:rsidRPr="005E15BE">
              <w:rPr>
                <w:rFonts w:ascii="Book Antiqua" w:eastAsia="Times New Roman" w:hAnsi="Book Antiqua" w:cs="Arial"/>
                <w:b/>
                <w:bCs/>
                <w:lang w:bidi="ta-IN"/>
              </w:rPr>
              <w:t xml:space="preserve">Liquidity </w:t>
            </w:r>
            <w:r>
              <w:rPr>
                <w:rFonts w:ascii="Book Antiqua" w:eastAsia="Times New Roman" w:hAnsi="Book Antiqua" w:cs="Arial"/>
                <w:b/>
                <w:bCs/>
                <w:lang w:bidi="ta-IN"/>
              </w:rPr>
              <w:t>(</w:t>
            </w:r>
            <w:r w:rsidRPr="00560771">
              <w:rPr>
                <w:rFonts w:eastAsia="Times New Roman"/>
                <w:b/>
                <w:bCs/>
                <w:color w:val="000000"/>
                <w:sz w:val="22"/>
                <w:szCs w:val="22"/>
                <w:lang w:bidi="ta-IN"/>
              </w:rPr>
              <w:t>Rs. '000</w:t>
            </w:r>
            <w:r>
              <w:rPr>
                <w:rFonts w:eastAsia="Times New Roman"/>
                <w:b/>
                <w:bCs/>
                <w:color w:val="000000"/>
                <w:sz w:val="22"/>
                <w:szCs w:val="22"/>
                <w:lang w:bidi="ta-IN"/>
              </w:rPr>
              <w:t>)</w:t>
            </w:r>
          </w:p>
        </w:tc>
        <w:tc>
          <w:tcPr>
            <w:tcW w:w="140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Required Minimum Amount of Liquid Assets</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5,531,469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4,729,521 </w:t>
            </w:r>
          </w:p>
        </w:tc>
      </w:tr>
      <w:tr w:rsidR="00F5430F" w:rsidRPr="005E15BE" w:rsidTr="00F5430F">
        <w:trPr>
          <w:trHeight w:val="330"/>
        </w:trPr>
        <w:tc>
          <w:tcPr>
            <w:tcW w:w="10656" w:type="dxa"/>
            <w:tcBorders>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Available Amount of Liquid Assets</w:t>
            </w:r>
          </w:p>
        </w:tc>
        <w:tc>
          <w:tcPr>
            <w:tcW w:w="1405" w:type="dxa"/>
            <w:tcBorders>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8,169,670 </w:t>
            </w:r>
          </w:p>
        </w:tc>
        <w:tc>
          <w:tcPr>
            <w:tcW w:w="1405"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8,372,989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Required Minimum Amount of Government Securities</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4,005,9</w:t>
            </w:r>
            <w:r>
              <w:rPr>
                <w:rFonts w:ascii="Book Antiqua" w:eastAsia="Times New Roman" w:hAnsi="Book Antiqua" w:cs="Arial"/>
                <w:b/>
                <w:bCs/>
                <w:lang w:bidi="ta-IN"/>
              </w:rPr>
              <w:t>2</w:t>
            </w:r>
            <w:r w:rsidRPr="005E15BE">
              <w:rPr>
                <w:rFonts w:ascii="Book Antiqua" w:eastAsia="Times New Roman" w:hAnsi="Book Antiqua" w:cs="Arial"/>
                <w:b/>
                <w:bCs/>
                <w:lang w:bidi="ta-IN"/>
              </w:rPr>
              <w:t xml:space="preserve">6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4,228,987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Available Amount of Government Securities</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6,417,788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6,792,321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p>
        </w:tc>
      </w:tr>
      <w:tr w:rsidR="00F5430F" w:rsidRPr="005E15BE" w:rsidTr="00F5430F">
        <w:trPr>
          <w:trHeight w:val="345"/>
        </w:trPr>
        <w:tc>
          <w:tcPr>
            <w:tcW w:w="10656"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sidRPr="005E15BE">
              <w:rPr>
                <w:rFonts w:ascii="Book Antiqua" w:eastAsia="Times New Roman" w:hAnsi="Book Antiqua" w:cs="Arial"/>
                <w:b/>
                <w:bCs/>
                <w:lang w:bidi="ta-IN"/>
              </w:rPr>
              <w:t>Memorandum information</w:t>
            </w:r>
          </w:p>
        </w:tc>
        <w:tc>
          <w:tcPr>
            <w:tcW w:w="1405" w:type="dxa"/>
            <w:tcBorders>
              <w:top w:val="nil"/>
              <w:left w:val="single" w:sz="4" w:space="0" w:color="auto"/>
              <w:bottom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w:t>
            </w:r>
          </w:p>
        </w:tc>
      </w:tr>
      <w:tr w:rsidR="00F5430F" w:rsidRPr="005E15BE" w:rsidTr="00F5430F">
        <w:trPr>
          <w:trHeight w:val="330"/>
        </w:trPr>
        <w:tc>
          <w:tcPr>
            <w:tcW w:w="10656" w:type="dxa"/>
            <w:tcBorders>
              <w:top w:val="single" w:sz="4" w:space="0" w:color="auto"/>
              <w:left w:val="single" w:sz="4" w:space="0" w:color="auto"/>
              <w:bottom w:val="nil"/>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single" w:sz="4" w:space="0" w:color="auto"/>
              <w:left w:val="single" w:sz="4" w:space="0" w:color="auto"/>
              <w:bottom w:val="nil"/>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w:t>
            </w:r>
          </w:p>
        </w:tc>
        <w:tc>
          <w:tcPr>
            <w:tcW w:w="1405" w:type="dxa"/>
            <w:tcBorders>
              <w:top w:val="single" w:sz="4" w:space="0" w:color="auto"/>
              <w:left w:val="single" w:sz="4" w:space="0" w:color="auto"/>
              <w:bottom w:val="nil"/>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Number of employees</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1,834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1,666 </w:t>
            </w:r>
          </w:p>
        </w:tc>
      </w:tr>
      <w:tr w:rsidR="00F5430F" w:rsidRPr="005E15BE" w:rsidTr="00F5430F">
        <w:trPr>
          <w:trHeight w:val="330"/>
        </w:trPr>
        <w:tc>
          <w:tcPr>
            <w:tcW w:w="10656" w:type="dxa"/>
            <w:tcBorders>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Number of branches</w:t>
            </w:r>
          </w:p>
        </w:tc>
        <w:tc>
          <w:tcPr>
            <w:tcW w:w="1405" w:type="dxa"/>
            <w:tcBorders>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92 </w:t>
            </w:r>
          </w:p>
        </w:tc>
        <w:tc>
          <w:tcPr>
            <w:tcW w:w="1405" w:type="dxa"/>
            <w:tcBorders>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89 </w:t>
            </w:r>
          </w:p>
        </w:tc>
      </w:tr>
      <w:tr w:rsidR="00F5430F" w:rsidRPr="005E15BE" w:rsidTr="00F5430F">
        <w:trPr>
          <w:trHeight w:val="330"/>
        </w:trPr>
        <w:tc>
          <w:tcPr>
            <w:tcW w:w="10656" w:type="dxa"/>
            <w:tcBorders>
              <w:top w:val="nil"/>
              <w:left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Number of service centers</w:t>
            </w:r>
          </w:p>
        </w:tc>
        <w:tc>
          <w:tcPr>
            <w:tcW w:w="1405" w:type="dxa"/>
            <w:tcBorders>
              <w:top w:val="nil"/>
              <w:left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110 </w:t>
            </w:r>
          </w:p>
        </w:tc>
        <w:tc>
          <w:tcPr>
            <w:tcW w:w="1405" w:type="dxa"/>
            <w:tcBorders>
              <w:top w:val="nil"/>
              <w:left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109 </w:t>
            </w:r>
          </w:p>
        </w:tc>
      </w:tr>
      <w:tr w:rsidR="00F5430F" w:rsidRPr="005E15BE" w:rsidTr="00F5430F">
        <w:trPr>
          <w:trHeight w:val="330"/>
        </w:trPr>
        <w:tc>
          <w:tcPr>
            <w:tcW w:w="10656"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5E15BE">
            <w:pPr>
              <w:spacing w:line="240" w:lineRule="auto"/>
              <w:jc w:val="left"/>
              <w:rPr>
                <w:rFonts w:ascii="Book Antiqua" w:eastAsia="Times New Roman" w:hAnsi="Book Antiqua" w:cs="Arial"/>
                <w:lang w:bidi="ta-IN"/>
              </w:rPr>
            </w:pPr>
            <w:r w:rsidRPr="005E15BE">
              <w:rPr>
                <w:rFonts w:ascii="Book Antiqua" w:eastAsia="Times New Roman" w:hAnsi="Book Antiqua" w:cs="Arial"/>
                <w:lang w:bidi="ta-IN"/>
              </w:rPr>
              <w:t>Number of pawning centers</w:t>
            </w:r>
          </w:p>
        </w:tc>
        <w:tc>
          <w:tcPr>
            <w:tcW w:w="1405" w:type="dxa"/>
            <w:tcBorders>
              <w:top w:val="nil"/>
              <w:left w:val="single" w:sz="4" w:space="0" w:color="auto"/>
              <w:bottom w:val="single" w:sz="4" w:space="0" w:color="auto"/>
              <w:right w:val="single" w:sz="4" w:space="0" w:color="auto"/>
            </w:tcBorders>
            <w:shd w:val="clear" w:color="000000" w:fill="D8D8D8"/>
            <w:noWrap/>
            <w:vAlign w:val="bottom"/>
            <w:hideMark/>
          </w:tcPr>
          <w:p w:rsidR="00F5430F" w:rsidRPr="005E15BE" w:rsidRDefault="00F5430F" w:rsidP="00F5430F">
            <w:pPr>
              <w:spacing w:line="240" w:lineRule="auto"/>
              <w:jc w:val="right"/>
              <w:rPr>
                <w:rFonts w:ascii="Book Antiqua" w:eastAsia="Times New Roman" w:hAnsi="Book Antiqua" w:cs="Arial"/>
                <w:b/>
                <w:bCs/>
                <w:lang w:bidi="ta-IN"/>
              </w:rPr>
            </w:pPr>
            <w:r w:rsidRPr="005E15BE">
              <w:rPr>
                <w:rFonts w:ascii="Book Antiqua" w:eastAsia="Times New Roman" w:hAnsi="Book Antiqua" w:cs="Arial"/>
                <w:b/>
                <w:bCs/>
                <w:lang w:bidi="ta-IN"/>
              </w:rPr>
              <w:t xml:space="preserve">                -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F5430F" w:rsidRPr="005E15BE" w:rsidRDefault="00F5430F" w:rsidP="00F5430F">
            <w:pPr>
              <w:spacing w:line="240" w:lineRule="auto"/>
              <w:jc w:val="right"/>
              <w:rPr>
                <w:rFonts w:ascii="Book Antiqua" w:eastAsia="Times New Roman" w:hAnsi="Book Antiqua" w:cs="Arial"/>
                <w:lang w:bidi="ta-IN"/>
              </w:rPr>
            </w:pPr>
            <w:r w:rsidRPr="005E15BE">
              <w:rPr>
                <w:rFonts w:ascii="Book Antiqua" w:eastAsia="Times New Roman" w:hAnsi="Book Antiqua" w:cs="Arial"/>
                <w:lang w:bidi="ta-IN"/>
              </w:rPr>
              <w:t xml:space="preserve">                -   </w:t>
            </w:r>
          </w:p>
        </w:tc>
      </w:tr>
    </w:tbl>
    <w:p w:rsidR="00CF2048" w:rsidRDefault="00CF2048" w:rsidP="00CF2048"/>
    <w:p w:rsidR="00B71485" w:rsidRDefault="00B71485" w:rsidP="00CF2048">
      <w:r>
        <w:t>Ratios were given based on the information published in the Annual Report.</w:t>
      </w:r>
    </w:p>
    <w:p w:rsidR="00B71485" w:rsidRDefault="00B71485">
      <w:r>
        <w:br w:type="page"/>
      </w:r>
    </w:p>
    <w:p w:rsidR="00B43E8D" w:rsidRDefault="00B43E8D">
      <w:pPr>
        <w:rPr>
          <w:rFonts w:eastAsia="Times New Roman"/>
          <w:b/>
          <w:bCs/>
          <w:color w:val="000000"/>
          <w:sz w:val="32"/>
          <w:szCs w:val="32"/>
          <w:lang w:bidi="ta-IN"/>
        </w:rPr>
      </w:pPr>
      <w:bookmarkStart w:id="2" w:name="RANGE!A2"/>
      <w:r w:rsidRPr="00B43E8D">
        <w:rPr>
          <w:rFonts w:eastAsia="Times New Roman"/>
          <w:b/>
          <w:bCs/>
          <w:color w:val="000000"/>
          <w:sz w:val="32"/>
          <w:szCs w:val="32"/>
          <w:lang w:bidi="ta-IN"/>
        </w:rPr>
        <w:lastRenderedPageBreak/>
        <w:t>STATEMENT OF COMPREHENSIVE INCOME</w:t>
      </w:r>
      <w:bookmarkEnd w:id="2"/>
    </w:p>
    <w:p w:rsidR="00B43E8D" w:rsidRPr="00B43E8D" w:rsidRDefault="00B43E8D">
      <w:pPr>
        <w:rPr>
          <w:b/>
          <w:bCs/>
        </w:rPr>
      </w:pPr>
      <w:r w:rsidRPr="00B43E8D">
        <w:rPr>
          <w:rFonts w:eastAsia="Times New Roman"/>
          <w:color w:val="000000"/>
          <w:sz w:val="22"/>
          <w:szCs w:val="22"/>
          <w:lang w:bidi="ta-IN"/>
        </w:rPr>
        <w:t>For the year ended 31st March 2016</w:t>
      </w:r>
    </w:p>
    <w:tbl>
      <w:tblPr>
        <w:tblW w:w="14720" w:type="dxa"/>
        <w:tblInd w:w="93" w:type="dxa"/>
        <w:tblLook w:val="04A0" w:firstRow="1" w:lastRow="0" w:firstColumn="1" w:lastColumn="0" w:noHBand="0" w:noVBand="1"/>
      </w:tblPr>
      <w:tblGrid>
        <w:gridCol w:w="6900"/>
        <w:gridCol w:w="1300"/>
        <w:gridCol w:w="1280"/>
        <w:gridCol w:w="1180"/>
        <w:gridCol w:w="1360"/>
        <w:gridCol w:w="1280"/>
        <w:gridCol w:w="1420"/>
      </w:tblGrid>
      <w:tr w:rsidR="00B43E8D" w:rsidRPr="00B43E8D" w:rsidTr="00A018D6">
        <w:trPr>
          <w:trHeight w:val="300"/>
          <w:tblHeader/>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p>
        </w:tc>
        <w:tc>
          <w:tcPr>
            <w:tcW w:w="3760" w:type="dxa"/>
            <w:gridSpan w:val="3"/>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b/>
                <w:bCs/>
                <w:color w:val="000000"/>
                <w:sz w:val="22"/>
                <w:szCs w:val="22"/>
                <w:lang w:bidi="ta-IN"/>
              </w:rPr>
            </w:pPr>
            <w:r w:rsidRPr="00B43E8D">
              <w:rPr>
                <w:rFonts w:eastAsia="Times New Roman"/>
                <w:b/>
                <w:bCs/>
                <w:color w:val="000000"/>
                <w:sz w:val="22"/>
                <w:szCs w:val="22"/>
                <w:lang w:bidi="ta-IN"/>
              </w:rPr>
              <w:t xml:space="preserve">Company </w:t>
            </w:r>
          </w:p>
        </w:tc>
        <w:tc>
          <w:tcPr>
            <w:tcW w:w="4060" w:type="dxa"/>
            <w:gridSpan w:val="3"/>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b/>
                <w:bCs/>
                <w:color w:val="000000"/>
                <w:sz w:val="22"/>
                <w:szCs w:val="22"/>
                <w:lang w:bidi="ta-IN"/>
              </w:rPr>
            </w:pPr>
            <w:r w:rsidRPr="00B43E8D">
              <w:rPr>
                <w:rFonts w:eastAsia="Times New Roman"/>
                <w:b/>
                <w:bCs/>
                <w:color w:val="000000"/>
                <w:sz w:val="22"/>
                <w:szCs w:val="22"/>
                <w:lang w:bidi="ta-IN"/>
              </w:rPr>
              <w:t xml:space="preserve">Group </w:t>
            </w:r>
          </w:p>
        </w:tc>
      </w:tr>
      <w:tr w:rsidR="00B43E8D" w:rsidRPr="00B43E8D" w:rsidTr="00A018D6">
        <w:trPr>
          <w:trHeight w:val="600"/>
          <w:tblHeader/>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b/>
                <w:bCs/>
                <w:color w:val="000000"/>
                <w:sz w:val="22"/>
                <w:szCs w:val="22"/>
                <w:lang w:bidi="ta-IN"/>
              </w:rPr>
            </w:pPr>
            <w:r w:rsidRPr="00B43E8D">
              <w:rPr>
                <w:rFonts w:eastAsia="Times New Roman"/>
                <w:b/>
                <w:bCs/>
                <w:color w:val="000000"/>
                <w:sz w:val="22"/>
                <w:szCs w:val="22"/>
                <w:lang w:bidi="ta-IN"/>
              </w:rPr>
              <w:t>2016</w:t>
            </w:r>
            <w:r w:rsidRPr="00B43E8D">
              <w:rPr>
                <w:rFonts w:eastAsia="Times New Roman"/>
                <w:b/>
                <w:bCs/>
                <w:color w:val="000000"/>
                <w:sz w:val="22"/>
                <w:szCs w:val="22"/>
                <w:lang w:bidi="ta-IN"/>
              </w:rPr>
              <w:br/>
              <w:t>Rs. '000</w:t>
            </w:r>
          </w:p>
        </w:tc>
        <w:tc>
          <w:tcPr>
            <w:tcW w:w="1280" w:type="dxa"/>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color w:val="000000"/>
                <w:sz w:val="22"/>
                <w:szCs w:val="22"/>
                <w:lang w:bidi="ta-IN"/>
              </w:rPr>
            </w:pPr>
            <w:r w:rsidRPr="00B43E8D">
              <w:rPr>
                <w:rFonts w:eastAsia="Times New Roman"/>
                <w:color w:val="000000"/>
                <w:sz w:val="22"/>
                <w:szCs w:val="22"/>
                <w:lang w:bidi="ta-IN"/>
              </w:rPr>
              <w:t>2015</w:t>
            </w:r>
            <w:r w:rsidRPr="00B43E8D">
              <w:rPr>
                <w:rFonts w:eastAsia="Times New Roman"/>
                <w:color w:val="000000"/>
                <w:sz w:val="22"/>
                <w:szCs w:val="22"/>
                <w:lang w:bidi="ta-IN"/>
              </w:rPr>
              <w:br/>
              <w:t>Rs. '000</w:t>
            </w:r>
          </w:p>
        </w:tc>
        <w:tc>
          <w:tcPr>
            <w:tcW w:w="1180" w:type="dxa"/>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color w:val="000000"/>
                <w:sz w:val="22"/>
                <w:szCs w:val="22"/>
                <w:lang w:bidi="ta-IN"/>
              </w:rPr>
            </w:pPr>
            <w:r w:rsidRPr="00B43E8D">
              <w:rPr>
                <w:rFonts w:eastAsia="Times New Roman"/>
                <w:color w:val="000000"/>
                <w:sz w:val="22"/>
                <w:szCs w:val="22"/>
                <w:lang w:bidi="ta-IN"/>
              </w:rPr>
              <w:t xml:space="preserve"> Change</w:t>
            </w:r>
            <w:r w:rsidRPr="00B43E8D">
              <w:rPr>
                <w:rFonts w:eastAsia="Times New Roman"/>
                <w:color w:val="000000"/>
                <w:sz w:val="22"/>
                <w:szCs w:val="22"/>
                <w:lang w:bidi="ta-IN"/>
              </w:rPr>
              <w:br/>
              <w:t xml:space="preserve">% </w:t>
            </w:r>
          </w:p>
        </w:tc>
        <w:tc>
          <w:tcPr>
            <w:tcW w:w="1360" w:type="dxa"/>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b/>
                <w:bCs/>
                <w:color w:val="000000"/>
                <w:sz w:val="22"/>
                <w:szCs w:val="22"/>
                <w:lang w:bidi="ta-IN"/>
              </w:rPr>
            </w:pPr>
            <w:r w:rsidRPr="00B43E8D">
              <w:rPr>
                <w:rFonts w:eastAsia="Times New Roman"/>
                <w:b/>
                <w:bCs/>
                <w:color w:val="000000"/>
                <w:sz w:val="22"/>
                <w:szCs w:val="22"/>
                <w:lang w:bidi="ta-IN"/>
              </w:rPr>
              <w:t>2016</w:t>
            </w:r>
            <w:r w:rsidRPr="00B43E8D">
              <w:rPr>
                <w:rFonts w:eastAsia="Times New Roman"/>
                <w:b/>
                <w:bCs/>
                <w:color w:val="000000"/>
                <w:sz w:val="22"/>
                <w:szCs w:val="22"/>
                <w:lang w:bidi="ta-IN"/>
              </w:rPr>
              <w:br/>
              <w:t>Rs. '000</w:t>
            </w:r>
          </w:p>
        </w:tc>
        <w:tc>
          <w:tcPr>
            <w:tcW w:w="1280" w:type="dxa"/>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color w:val="000000"/>
                <w:sz w:val="22"/>
                <w:szCs w:val="22"/>
                <w:lang w:bidi="ta-IN"/>
              </w:rPr>
            </w:pPr>
            <w:r w:rsidRPr="00B43E8D">
              <w:rPr>
                <w:rFonts w:eastAsia="Times New Roman"/>
                <w:color w:val="000000"/>
                <w:sz w:val="22"/>
                <w:szCs w:val="22"/>
                <w:lang w:bidi="ta-IN"/>
              </w:rPr>
              <w:t>2015</w:t>
            </w:r>
            <w:r w:rsidRPr="00B43E8D">
              <w:rPr>
                <w:rFonts w:eastAsia="Times New Roman"/>
                <w:color w:val="000000"/>
                <w:sz w:val="22"/>
                <w:szCs w:val="22"/>
                <w:lang w:bidi="ta-IN"/>
              </w:rPr>
              <w:br/>
              <w:t>Rs. '000</w:t>
            </w:r>
          </w:p>
        </w:tc>
        <w:tc>
          <w:tcPr>
            <w:tcW w:w="1420" w:type="dxa"/>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color w:val="000000"/>
                <w:sz w:val="22"/>
                <w:szCs w:val="22"/>
                <w:lang w:bidi="ta-IN"/>
              </w:rPr>
            </w:pPr>
            <w:r w:rsidRPr="00B43E8D">
              <w:rPr>
                <w:rFonts w:eastAsia="Times New Roman"/>
                <w:color w:val="000000"/>
                <w:sz w:val="22"/>
                <w:szCs w:val="22"/>
                <w:lang w:bidi="ta-IN"/>
              </w:rPr>
              <w:t xml:space="preserve"> Change</w:t>
            </w:r>
            <w:r w:rsidRPr="00B43E8D">
              <w:rPr>
                <w:rFonts w:eastAsia="Times New Roman"/>
                <w:color w:val="000000"/>
                <w:sz w:val="22"/>
                <w:szCs w:val="22"/>
                <w:lang w:bidi="ta-IN"/>
              </w:rPr>
              <w:br/>
              <w:t xml:space="preserve">% </w:t>
            </w:r>
          </w:p>
        </w:tc>
      </w:tr>
      <w:tr w:rsidR="00B43E8D" w:rsidRPr="00B43E8D" w:rsidTr="00B43E8D">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center"/>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center"/>
              <w:rPr>
                <w:rFonts w:eastAsia="Times New Roman"/>
                <w:color w:val="000000"/>
                <w:sz w:val="22"/>
                <w:szCs w:val="22"/>
                <w:lang w:bidi="ta-IN"/>
              </w:rPr>
            </w:pPr>
          </w:p>
        </w:tc>
        <w:tc>
          <w:tcPr>
            <w:tcW w:w="1360" w:type="dxa"/>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b/>
                <w:bCs/>
                <w:color w:val="000000"/>
                <w:sz w:val="22"/>
                <w:szCs w:val="22"/>
                <w:lang w:bidi="ta-IN"/>
              </w:rPr>
            </w:pPr>
          </w:p>
        </w:tc>
        <w:tc>
          <w:tcPr>
            <w:tcW w:w="1280" w:type="dxa"/>
            <w:tcBorders>
              <w:top w:val="nil"/>
              <w:left w:val="nil"/>
              <w:bottom w:val="nil"/>
              <w:right w:val="nil"/>
            </w:tcBorders>
            <w:shd w:val="clear" w:color="auto" w:fill="auto"/>
            <w:vAlign w:val="bottom"/>
            <w:hideMark/>
          </w:tcPr>
          <w:p w:rsidR="00B43E8D" w:rsidRPr="00B43E8D" w:rsidRDefault="00B43E8D" w:rsidP="00B43E8D">
            <w:pPr>
              <w:spacing w:line="240" w:lineRule="auto"/>
              <w:jc w:val="center"/>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center"/>
              <w:rPr>
                <w:rFonts w:eastAsia="Times New Roman"/>
                <w:color w:val="000000"/>
                <w:sz w:val="22"/>
                <w:szCs w:val="22"/>
                <w:lang w:bidi="ta-IN"/>
              </w:rPr>
            </w:pPr>
          </w:p>
        </w:tc>
      </w:tr>
      <w:tr w:rsidR="00B43E8D" w:rsidRPr="00B43E8D" w:rsidTr="00B43E8D">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r w:rsidRPr="00B43E8D">
              <w:rPr>
                <w:rFonts w:eastAsia="Times New Roman"/>
                <w:b/>
                <w:bCs/>
                <w:color w:val="000000"/>
                <w:sz w:val="22"/>
                <w:szCs w:val="22"/>
                <w:lang w:bidi="ta-IN"/>
              </w:rPr>
              <w:t xml:space="preserve">Profit for the year </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4,347,354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3,752,960 </w:t>
            </w: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15.84 </w:t>
            </w: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4,741,546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4,101,542 </w:t>
            </w: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15.60 </w:t>
            </w: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r w:rsidRPr="00B43E8D">
              <w:rPr>
                <w:rFonts w:eastAsia="Times New Roman"/>
                <w:b/>
                <w:bCs/>
                <w:color w:val="000000"/>
                <w:sz w:val="22"/>
                <w:szCs w:val="22"/>
                <w:lang w:bidi="ta-IN"/>
              </w:rPr>
              <w:t xml:space="preserve">Other comprehensive income/(expenses)  </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600"/>
        </w:trPr>
        <w:tc>
          <w:tcPr>
            <w:tcW w:w="6900" w:type="dxa"/>
            <w:tcBorders>
              <w:top w:val="nil"/>
              <w:left w:val="nil"/>
              <w:bottom w:val="nil"/>
              <w:right w:val="nil"/>
            </w:tcBorders>
            <w:shd w:val="clear" w:color="auto" w:fill="auto"/>
            <w:vAlign w:val="bottom"/>
            <w:hideMark/>
          </w:tcPr>
          <w:p w:rsidR="00B43E8D" w:rsidRPr="00B43E8D" w:rsidRDefault="00B43E8D" w:rsidP="00B43E8D">
            <w:pPr>
              <w:spacing w:line="240" w:lineRule="auto"/>
              <w:jc w:val="left"/>
              <w:rPr>
                <w:rFonts w:eastAsia="Times New Roman"/>
                <w:b/>
                <w:bCs/>
                <w:i/>
                <w:iCs/>
                <w:color w:val="000000"/>
                <w:sz w:val="22"/>
                <w:szCs w:val="22"/>
                <w:lang w:bidi="ta-IN"/>
              </w:rPr>
            </w:pPr>
            <w:r w:rsidRPr="00B43E8D">
              <w:rPr>
                <w:rFonts w:eastAsia="Times New Roman"/>
                <w:b/>
                <w:bCs/>
                <w:i/>
                <w:iCs/>
                <w:color w:val="000000"/>
                <w:sz w:val="22"/>
                <w:szCs w:val="22"/>
                <w:lang w:bidi="ta-IN"/>
              </w:rPr>
              <w:t>Other comprehensive income to be reclassified to profit or loss in subsequent periods (net of tax):</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Cash flow hedges</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sz w:val="22"/>
                <w:szCs w:val="22"/>
                <w:lang w:bidi="ta-IN"/>
              </w:rPr>
            </w:pPr>
            <w:r w:rsidRPr="00B43E8D">
              <w:rPr>
                <w:rFonts w:eastAsia="Times New Roman"/>
                <w:sz w:val="22"/>
                <w:szCs w:val="22"/>
                <w:lang w:bidi="ta-IN"/>
              </w:rPr>
              <w:t xml:space="preserve">Gains/(losses) on derivative financial investments  </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(6,971)</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6,318 </w:t>
            </w: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(210.34)</w:t>
            </w: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r w:rsidRPr="00B43E8D">
              <w:rPr>
                <w:rFonts w:eastAsia="Times New Roman"/>
                <w:b/>
                <w:bCs/>
                <w:sz w:val="22"/>
                <w:szCs w:val="22"/>
                <w:lang w:bidi="ta-IN"/>
              </w:rPr>
              <w:t xml:space="preserve">          (6,971)</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6,318 </w:t>
            </w: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(210.34)</w:t>
            </w: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Available-for-sale financial assets</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93530A">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 xml:space="preserve">Gains/(losses) on re-measuring </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r w:rsidRPr="00B43E8D">
              <w:rPr>
                <w:rFonts w:eastAsia="Times New Roman"/>
                <w:b/>
                <w:bCs/>
                <w:sz w:val="22"/>
                <w:szCs w:val="22"/>
                <w:lang w:bidi="ta-IN"/>
              </w:rPr>
              <w:t xml:space="preserve">        50,316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155,131 </w:t>
            </w: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(67.57)</w:t>
            </w: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r w:rsidRPr="00B43E8D">
              <w:rPr>
                <w:rFonts w:eastAsia="Times New Roman"/>
                <w:b/>
                <w:bCs/>
                <w:sz w:val="22"/>
                <w:szCs w:val="22"/>
                <w:lang w:bidi="ta-IN"/>
              </w:rPr>
              <w:t xml:space="preserve">         32,855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154,040 </w:t>
            </w: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(78.67)</w:t>
            </w: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Recycling to Statement of Profit or Loss</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r w:rsidRPr="00B43E8D">
              <w:rPr>
                <w:rFonts w:eastAsia="Times New Roman"/>
                <w:b/>
                <w:bCs/>
                <w:sz w:val="22"/>
                <w:szCs w:val="22"/>
                <w:lang w:bidi="ta-IN"/>
              </w:rPr>
              <w:t xml:space="preserve">       (24,565)</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   </w:t>
            </w: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r w:rsidRPr="00B43E8D">
              <w:rPr>
                <w:rFonts w:eastAsia="Times New Roman"/>
                <w:b/>
                <w:bCs/>
                <w:sz w:val="22"/>
                <w:szCs w:val="22"/>
                <w:lang w:bidi="ta-IN"/>
              </w:rPr>
              <w:t xml:space="preserve">        (24,565)</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   </w:t>
            </w: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(100.00)</w:t>
            </w:r>
          </w:p>
        </w:tc>
      </w:tr>
      <w:tr w:rsidR="00B43E8D" w:rsidRPr="00B43E8D" w:rsidTr="00F5430F">
        <w:trPr>
          <w:trHeight w:val="630"/>
        </w:trPr>
        <w:tc>
          <w:tcPr>
            <w:tcW w:w="6900" w:type="dxa"/>
            <w:tcBorders>
              <w:top w:val="nil"/>
              <w:left w:val="nil"/>
              <w:bottom w:val="nil"/>
              <w:right w:val="nil"/>
            </w:tcBorders>
            <w:shd w:val="clear" w:color="auto" w:fill="auto"/>
            <w:vAlign w:val="bottom"/>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Net other comprehensive income to be reclassified to profit or loss in subsequent periods</w:t>
            </w:r>
          </w:p>
        </w:tc>
        <w:tc>
          <w:tcPr>
            <w:tcW w:w="1300" w:type="dxa"/>
            <w:tcBorders>
              <w:top w:val="single" w:sz="4" w:space="0" w:color="auto"/>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18,780 </w:t>
            </w:r>
          </w:p>
        </w:tc>
        <w:tc>
          <w:tcPr>
            <w:tcW w:w="1280" w:type="dxa"/>
            <w:tcBorders>
              <w:top w:val="single" w:sz="4" w:space="0" w:color="auto"/>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161,449 </w:t>
            </w:r>
          </w:p>
        </w:tc>
        <w:tc>
          <w:tcPr>
            <w:tcW w:w="1180" w:type="dxa"/>
            <w:tcBorders>
              <w:top w:val="single" w:sz="4" w:space="0" w:color="auto"/>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(88.37)</w:t>
            </w:r>
          </w:p>
        </w:tc>
        <w:tc>
          <w:tcPr>
            <w:tcW w:w="1360" w:type="dxa"/>
            <w:tcBorders>
              <w:top w:val="single" w:sz="4" w:space="0" w:color="auto"/>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1,319 </w:t>
            </w:r>
          </w:p>
        </w:tc>
        <w:tc>
          <w:tcPr>
            <w:tcW w:w="1280" w:type="dxa"/>
            <w:tcBorders>
              <w:top w:val="single" w:sz="4" w:space="0" w:color="auto"/>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160,358 </w:t>
            </w:r>
          </w:p>
        </w:tc>
        <w:tc>
          <w:tcPr>
            <w:tcW w:w="1420" w:type="dxa"/>
            <w:tcBorders>
              <w:top w:val="single" w:sz="4" w:space="0" w:color="auto"/>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(99.18)</w:t>
            </w: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600"/>
        </w:trPr>
        <w:tc>
          <w:tcPr>
            <w:tcW w:w="6900" w:type="dxa"/>
            <w:tcBorders>
              <w:top w:val="nil"/>
              <w:left w:val="nil"/>
              <w:bottom w:val="nil"/>
              <w:right w:val="nil"/>
            </w:tcBorders>
            <w:shd w:val="clear" w:color="auto" w:fill="auto"/>
            <w:vAlign w:val="bottom"/>
            <w:hideMark/>
          </w:tcPr>
          <w:p w:rsidR="00B43E8D" w:rsidRPr="00B43E8D" w:rsidRDefault="00B43E8D" w:rsidP="00B43E8D">
            <w:pPr>
              <w:spacing w:line="240" w:lineRule="auto"/>
              <w:jc w:val="left"/>
              <w:rPr>
                <w:rFonts w:eastAsia="Times New Roman"/>
                <w:b/>
                <w:bCs/>
                <w:i/>
                <w:iCs/>
                <w:color w:val="000000"/>
                <w:sz w:val="22"/>
                <w:szCs w:val="22"/>
                <w:lang w:bidi="ta-IN"/>
              </w:rPr>
            </w:pPr>
            <w:r w:rsidRPr="00B43E8D">
              <w:rPr>
                <w:rFonts w:eastAsia="Times New Roman"/>
                <w:b/>
                <w:bCs/>
                <w:i/>
                <w:iCs/>
                <w:color w:val="000000"/>
                <w:sz w:val="22"/>
                <w:szCs w:val="22"/>
                <w:lang w:bidi="ta-IN"/>
              </w:rPr>
              <w:t>Other comprehensive income not to be reclassified to profit or loss in subsequent periods (net of tax):</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93530A">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 xml:space="preserve">Actuarial gains /(losses) on defined benefit </w:t>
            </w:r>
            <w:r w:rsidR="0093530A">
              <w:rPr>
                <w:rFonts w:eastAsia="Times New Roman"/>
                <w:color w:val="000000"/>
                <w:sz w:val="22"/>
                <w:szCs w:val="22"/>
                <w:lang w:bidi="ta-IN"/>
              </w:rPr>
              <w:t>obligations</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(26,951)</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375 </w:t>
            </w: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(7,286.93)</w:t>
            </w: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r w:rsidRPr="00B43E8D">
              <w:rPr>
                <w:rFonts w:eastAsia="Times New Roman"/>
                <w:b/>
                <w:bCs/>
                <w:sz w:val="22"/>
                <w:szCs w:val="22"/>
                <w:lang w:bidi="ta-IN"/>
              </w:rPr>
              <w:t xml:space="preserve">        (26,893)</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(23)</w:t>
            </w: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116,826.09 </w:t>
            </w: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Deferred tax effect on above</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7,546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(105)</w:t>
            </w: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(7,286.67)</w:t>
            </w: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r w:rsidRPr="00B43E8D">
              <w:rPr>
                <w:rFonts w:eastAsia="Times New Roman"/>
                <w:b/>
                <w:bCs/>
                <w:sz w:val="22"/>
                <w:szCs w:val="22"/>
                <w:lang w:bidi="ta-IN"/>
              </w:rPr>
              <w:t xml:space="preserve">           6,968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69 </w:t>
            </w: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9,998.55 </w:t>
            </w: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675"/>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Deemed cost adjustment on transfers</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7,302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   </w:t>
            </w: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   </w:t>
            </w: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   </w:t>
            </w: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lastRenderedPageBreak/>
              <w:t>Deferred tax effect on above</w:t>
            </w:r>
          </w:p>
        </w:tc>
        <w:tc>
          <w:tcPr>
            <w:tcW w:w="130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(2,045)</w:t>
            </w:r>
          </w:p>
        </w:tc>
        <w:tc>
          <w:tcPr>
            <w:tcW w:w="128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   </w:t>
            </w:r>
          </w:p>
        </w:tc>
        <w:tc>
          <w:tcPr>
            <w:tcW w:w="118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r w:rsidRPr="00B43E8D">
              <w:rPr>
                <w:rFonts w:eastAsia="Times New Roman"/>
                <w:b/>
                <w:bCs/>
                <w:sz w:val="22"/>
                <w:szCs w:val="22"/>
                <w:lang w:bidi="ta-IN"/>
              </w:rPr>
              <w:t xml:space="preserve">                 -   </w:t>
            </w:r>
          </w:p>
        </w:tc>
        <w:tc>
          <w:tcPr>
            <w:tcW w:w="128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   </w:t>
            </w:r>
          </w:p>
        </w:tc>
        <w:tc>
          <w:tcPr>
            <w:tcW w:w="142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   </w:t>
            </w:r>
          </w:p>
        </w:tc>
      </w:tr>
      <w:tr w:rsidR="00B43E8D" w:rsidRPr="00B43E8D" w:rsidTr="00F5430F">
        <w:trPr>
          <w:trHeight w:val="300"/>
        </w:trPr>
        <w:tc>
          <w:tcPr>
            <w:tcW w:w="6900" w:type="dxa"/>
            <w:tcBorders>
              <w:top w:val="nil"/>
              <w:left w:val="nil"/>
              <w:bottom w:val="nil"/>
              <w:right w:val="nil"/>
            </w:tcBorders>
            <w:shd w:val="clear" w:color="auto" w:fill="auto"/>
            <w:hideMark/>
          </w:tcPr>
          <w:p w:rsidR="00B43E8D" w:rsidRPr="00B43E8D" w:rsidRDefault="00B43E8D" w:rsidP="00B43E8D">
            <w:pPr>
              <w:spacing w:line="240" w:lineRule="auto"/>
              <w:jc w:val="left"/>
              <w:rPr>
                <w:rFonts w:eastAsia="Times New Roman"/>
                <w:color w:val="000000"/>
                <w:sz w:val="22"/>
                <w:szCs w:val="22"/>
                <w:lang w:bidi="ta-IN"/>
              </w:rPr>
            </w:pPr>
          </w:p>
        </w:tc>
        <w:tc>
          <w:tcPr>
            <w:tcW w:w="130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sz w:val="22"/>
                <w:szCs w:val="22"/>
                <w:lang w:bidi="ta-IN"/>
              </w:rPr>
            </w:pPr>
          </w:p>
        </w:tc>
        <w:tc>
          <w:tcPr>
            <w:tcW w:w="128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p>
        </w:tc>
        <w:tc>
          <w:tcPr>
            <w:tcW w:w="1420" w:type="dxa"/>
            <w:tcBorders>
              <w:top w:val="nil"/>
              <w:left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600"/>
        </w:trPr>
        <w:tc>
          <w:tcPr>
            <w:tcW w:w="6900" w:type="dxa"/>
            <w:tcBorders>
              <w:top w:val="nil"/>
              <w:left w:val="nil"/>
              <w:bottom w:val="nil"/>
              <w:right w:val="nil"/>
            </w:tcBorders>
            <w:shd w:val="clear" w:color="auto" w:fill="auto"/>
            <w:vAlign w:val="bottom"/>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Net other comprehensive income not to be reclassified to profit or loss in subsequent periods</w:t>
            </w:r>
          </w:p>
        </w:tc>
        <w:tc>
          <w:tcPr>
            <w:tcW w:w="1300" w:type="dxa"/>
            <w:tcBorders>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(14,148)</w:t>
            </w:r>
          </w:p>
        </w:tc>
        <w:tc>
          <w:tcPr>
            <w:tcW w:w="1280" w:type="dxa"/>
            <w:tcBorders>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270 </w:t>
            </w:r>
          </w:p>
        </w:tc>
        <w:tc>
          <w:tcPr>
            <w:tcW w:w="1180" w:type="dxa"/>
            <w:tcBorders>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(5,340.00)</w:t>
            </w:r>
          </w:p>
        </w:tc>
        <w:tc>
          <w:tcPr>
            <w:tcW w:w="1360" w:type="dxa"/>
            <w:tcBorders>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(19,925)</w:t>
            </w:r>
          </w:p>
        </w:tc>
        <w:tc>
          <w:tcPr>
            <w:tcW w:w="1280" w:type="dxa"/>
            <w:tcBorders>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46 </w:t>
            </w:r>
          </w:p>
        </w:tc>
        <w:tc>
          <w:tcPr>
            <w:tcW w:w="1420" w:type="dxa"/>
            <w:tcBorders>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(43,415.22)</w:t>
            </w: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r w:rsidRPr="00B43E8D">
              <w:rPr>
                <w:rFonts w:eastAsia="Times New Roman"/>
                <w:b/>
                <w:bCs/>
                <w:color w:val="000000"/>
                <w:sz w:val="22"/>
                <w:szCs w:val="22"/>
                <w:lang w:bidi="ta-IN"/>
              </w:rPr>
              <w:t>Other comprehensive income for the year, net of tax</w:t>
            </w:r>
          </w:p>
        </w:tc>
        <w:tc>
          <w:tcPr>
            <w:tcW w:w="1300" w:type="dxa"/>
            <w:tcBorders>
              <w:top w:val="single" w:sz="4" w:space="0" w:color="auto"/>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4,632 </w:t>
            </w:r>
          </w:p>
        </w:tc>
        <w:tc>
          <w:tcPr>
            <w:tcW w:w="1280" w:type="dxa"/>
            <w:tcBorders>
              <w:top w:val="single" w:sz="4" w:space="0" w:color="auto"/>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161,719 </w:t>
            </w:r>
          </w:p>
        </w:tc>
        <w:tc>
          <w:tcPr>
            <w:tcW w:w="1180" w:type="dxa"/>
            <w:tcBorders>
              <w:top w:val="nil"/>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(97.14)</w:t>
            </w:r>
          </w:p>
        </w:tc>
        <w:tc>
          <w:tcPr>
            <w:tcW w:w="1360" w:type="dxa"/>
            <w:tcBorders>
              <w:top w:val="single" w:sz="4" w:space="0" w:color="auto"/>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(18,606)</w:t>
            </w:r>
          </w:p>
        </w:tc>
        <w:tc>
          <w:tcPr>
            <w:tcW w:w="1280" w:type="dxa"/>
            <w:tcBorders>
              <w:top w:val="single" w:sz="4" w:space="0" w:color="auto"/>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160,404 </w:t>
            </w:r>
          </w:p>
        </w:tc>
        <w:tc>
          <w:tcPr>
            <w:tcW w:w="1420" w:type="dxa"/>
            <w:tcBorders>
              <w:top w:val="nil"/>
              <w:left w:val="nil"/>
              <w:bottom w:val="single" w:sz="4"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(111.60)</w:t>
            </w:r>
          </w:p>
        </w:tc>
      </w:tr>
      <w:tr w:rsidR="00B43E8D" w:rsidRPr="00B43E8D" w:rsidTr="00F5430F">
        <w:trPr>
          <w:trHeight w:val="315"/>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r w:rsidRPr="00B43E8D">
              <w:rPr>
                <w:rFonts w:eastAsia="Times New Roman"/>
                <w:b/>
                <w:bCs/>
                <w:color w:val="000000"/>
                <w:sz w:val="22"/>
                <w:szCs w:val="22"/>
                <w:lang w:bidi="ta-IN"/>
              </w:rPr>
              <w:t>Total comprehensive income for the year</w:t>
            </w:r>
          </w:p>
        </w:tc>
        <w:tc>
          <w:tcPr>
            <w:tcW w:w="130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4,351,986 </w:t>
            </w:r>
          </w:p>
        </w:tc>
        <w:tc>
          <w:tcPr>
            <w:tcW w:w="128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3,914,679 </w:t>
            </w:r>
          </w:p>
        </w:tc>
        <w:tc>
          <w:tcPr>
            <w:tcW w:w="1180" w:type="dxa"/>
            <w:tcBorders>
              <w:top w:val="nil"/>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11.17 </w:t>
            </w:r>
          </w:p>
        </w:tc>
        <w:tc>
          <w:tcPr>
            <w:tcW w:w="136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4,722,940 </w:t>
            </w:r>
          </w:p>
        </w:tc>
        <w:tc>
          <w:tcPr>
            <w:tcW w:w="128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4,261,946 </w:t>
            </w:r>
          </w:p>
        </w:tc>
        <w:tc>
          <w:tcPr>
            <w:tcW w:w="1420" w:type="dxa"/>
            <w:tcBorders>
              <w:top w:val="nil"/>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10.82 </w:t>
            </w: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b/>
                <w:bCs/>
                <w:color w:val="000000"/>
                <w:sz w:val="22"/>
                <w:szCs w:val="22"/>
                <w:lang w:bidi="ta-IN"/>
              </w:rPr>
            </w:pPr>
            <w:r w:rsidRPr="00B43E8D">
              <w:rPr>
                <w:rFonts w:eastAsia="Times New Roman"/>
                <w:b/>
                <w:bCs/>
                <w:color w:val="000000"/>
                <w:sz w:val="22"/>
                <w:szCs w:val="22"/>
                <w:lang w:bidi="ta-IN"/>
              </w:rPr>
              <w:t xml:space="preserve">Attributable to: </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Equity holders of the company</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4,351,986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3,914,679 </w:t>
            </w: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11.17 </w:t>
            </w: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4,727,319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4,261,946 </w:t>
            </w: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10.92 </w:t>
            </w:r>
          </w:p>
        </w:tc>
      </w:tr>
      <w:tr w:rsidR="00B43E8D" w:rsidRPr="00B43E8D" w:rsidTr="00F5430F">
        <w:trPr>
          <w:trHeight w:val="300"/>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color w:val="000000"/>
                <w:sz w:val="22"/>
                <w:szCs w:val="22"/>
                <w:lang w:bidi="ta-IN"/>
              </w:rPr>
            </w:pPr>
            <w:r w:rsidRPr="00B43E8D">
              <w:rPr>
                <w:rFonts w:eastAsia="Times New Roman"/>
                <w:color w:val="000000"/>
                <w:sz w:val="22"/>
                <w:szCs w:val="22"/>
                <w:lang w:bidi="ta-IN"/>
              </w:rPr>
              <w:t xml:space="preserve">Non Controlling Interests </w:t>
            </w:r>
          </w:p>
        </w:tc>
        <w:tc>
          <w:tcPr>
            <w:tcW w:w="130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   </w:t>
            </w:r>
          </w:p>
        </w:tc>
        <w:tc>
          <w:tcPr>
            <w:tcW w:w="11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sz w:val="22"/>
                <w:szCs w:val="22"/>
                <w:lang w:bidi="ta-IN"/>
              </w:rPr>
            </w:pPr>
            <w:r w:rsidRPr="00B43E8D">
              <w:rPr>
                <w:rFonts w:eastAsia="Times New Roman"/>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(4,379)</w:t>
            </w:r>
          </w:p>
        </w:tc>
        <w:tc>
          <w:tcPr>
            <w:tcW w:w="128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   </w:t>
            </w:r>
          </w:p>
        </w:tc>
        <w:tc>
          <w:tcPr>
            <w:tcW w:w="1420" w:type="dxa"/>
            <w:tcBorders>
              <w:top w:val="nil"/>
              <w:left w:val="nil"/>
              <w:bottom w:val="nil"/>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(100.00)</w:t>
            </w:r>
          </w:p>
        </w:tc>
      </w:tr>
      <w:tr w:rsidR="00B43E8D" w:rsidRPr="00B43E8D" w:rsidTr="00F5430F">
        <w:trPr>
          <w:trHeight w:val="315"/>
        </w:trPr>
        <w:tc>
          <w:tcPr>
            <w:tcW w:w="6900" w:type="dxa"/>
            <w:tcBorders>
              <w:top w:val="nil"/>
              <w:left w:val="nil"/>
              <w:bottom w:val="nil"/>
              <w:right w:val="nil"/>
            </w:tcBorders>
            <w:shd w:val="clear" w:color="auto" w:fill="auto"/>
            <w:noWrap/>
            <w:vAlign w:val="bottom"/>
            <w:hideMark/>
          </w:tcPr>
          <w:p w:rsidR="00B43E8D" w:rsidRPr="00B43E8D" w:rsidRDefault="00B43E8D" w:rsidP="00B43E8D">
            <w:pPr>
              <w:spacing w:line="240" w:lineRule="auto"/>
              <w:jc w:val="left"/>
              <w:rPr>
                <w:rFonts w:eastAsia="Times New Roman"/>
                <w:color w:val="000000"/>
                <w:sz w:val="22"/>
                <w:szCs w:val="22"/>
                <w:lang w:bidi="ta-IN"/>
              </w:rPr>
            </w:pPr>
          </w:p>
        </w:tc>
        <w:tc>
          <w:tcPr>
            <w:tcW w:w="130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4,351,986 </w:t>
            </w:r>
          </w:p>
        </w:tc>
        <w:tc>
          <w:tcPr>
            <w:tcW w:w="128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3,914,679 </w:t>
            </w:r>
          </w:p>
        </w:tc>
        <w:tc>
          <w:tcPr>
            <w:tcW w:w="118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11.17 </w:t>
            </w:r>
          </w:p>
        </w:tc>
        <w:tc>
          <w:tcPr>
            <w:tcW w:w="136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b/>
                <w:bCs/>
                <w:color w:val="000000"/>
                <w:sz w:val="22"/>
                <w:szCs w:val="22"/>
                <w:lang w:bidi="ta-IN"/>
              </w:rPr>
            </w:pPr>
            <w:r w:rsidRPr="00B43E8D">
              <w:rPr>
                <w:rFonts w:eastAsia="Times New Roman"/>
                <w:b/>
                <w:bCs/>
                <w:color w:val="000000"/>
                <w:sz w:val="22"/>
                <w:szCs w:val="22"/>
                <w:lang w:bidi="ta-IN"/>
              </w:rPr>
              <w:t xml:space="preserve">    4,722,940 </w:t>
            </w:r>
          </w:p>
        </w:tc>
        <w:tc>
          <w:tcPr>
            <w:tcW w:w="128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4,261,946 </w:t>
            </w:r>
          </w:p>
        </w:tc>
        <w:tc>
          <w:tcPr>
            <w:tcW w:w="1420" w:type="dxa"/>
            <w:tcBorders>
              <w:top w:val="single" w:sz="4" w:space="0" w:color="auto"/>
              <w:left w:val="nil"/>
              <w:bottom w:val="single" w:sz="8" w:space="0" w:color="auto"/>
              <w:right w:val="nil"/>
            </w:tcBorders>
            <w:shd w:val="clear" w:color="auto" w:fill="auto"/>
            <w:noWrap/>
            <w:vAlign w:val="bottom"/>
            <w:hideMark/>
          </w:tcPr>
          <w:p w:rsidR="00B43E8D" w:rsidRPr="00B43E8D" w:rsidRDefault="00B43E8D" w:rsidP="00F5430F">
            <w:pPr>
              <w:spacing w:line="240" w:lineRule="auto"/>
              <w:jc w:val="right"/>
              <w:rPr>
                <w:rFonts w:eastAsia="Times New Roman"/>
                <w:color w:val="000000"/>
                <w:sz w:val="22"/>
                <w:szCs w:val="22"/>
                <w:lang w:bidi="ta-IN"/>
              </w:rPr>
            </w:pPr>
            <w:r w:rsidRPr="00B43E8D">
              <w:rPr>
                <w:rFonts w:eastAsia="Times New Roman"/>
                <w:color w:val="000000"/>
                <w:sz w:val="22"/>
                <w:szCs w:val="22"/>
                <w:lang w:bidi="ta-IN"/>
              </w:rPr>
              <w:t xml:space="preserve">             10.82 </w:t>
            </w:r>
          </w:p>
        </w:tc>
      </w:tr>
    </w:tbl>
    <w:p w:rsidR="00B71485" w:rsidRDefault="00B71485" w:rsidP="00CF2048"/>
    <w:p w:rsidR="00A018D6" w:rsidRPr="00A018D6" w:rsidRDefault="00A018D6">
      <w:pPr>
        <w:rPr>
          <w:rFonts w:eastAsia="Times New Roman"/>
          <w:b/>
          <w:bCs/>
          <w:sz w:val="32"/>
          <w:szCs w:val="32"/>
          <w:lang w:bidi="ta-IN"/>
        </w:rPr>
      </w:pPr>
      <w:bookmarkStart w:id="3" w:name="RANGE!A3"/>
      <w:r w:rsidRPr="00A018D6">
        <w:rPr>
          <w:rFonts w:eastAsia="Times New Roman"/>
          <w:b/>
          <w:bCs/>
          <w:sz w:val="32"/>
          <w:szCs w:val="32"/>
          <w:lang w:bidi="ta-IN"/>
        </w:rPr>
        <w:t>STATEMENT OF FINANCIAL POSITION</w:t>
      </w:r>
      <w:bookmarkEnd w:id="3"/>
    </w:p>
    <w:p w:rsidR="00A018D6" w:rsidRDefault="00A018D6">
      <w:r w:rsidRPr="00A018D6">
        <w:rPr>
          <w:rFonts w:eastAsia="Times New Roman"/>
          <w:color w:val="000000"/>
          <w:lang w:bidi="ta-IN"/>
        </w:rPr>
        <w:t xml:space="preserve">As at 31st March </w:t>
      </w:r>
    </w:p>
    <w:tbl>
      <w:tblPr>
        <w:tblW w:w="14680" w:type="dxa"/>
        <w:tblInd w:w="93" w:type="dxa"/>
        <w:tblLook w:val="04A0" w:firstRow="1" w:lastRow="0" w:firstColumn="1" w:lastColumn="0" w:noHBand="0" w:noVBand="1"/>
      </w:tblPr>
      <w:tblGrid>
        <w:gridCol w:w="6480"/>
        <w:gridCol w:w="1507"/>
        <w:gridCol w:w="1433"/>
        <w:gridCol w:w="1100"/>
        <w:gridCol w:w="1540"/>
        <w:gridCol w:w="1520"/>
        <w:gridCol w:w="1100"/>
      </w:tblGrid>
      <w:tr w:rsidR="00A018D6" w:rsidRPr="00A018D6" w:rsidTr="00A018D6">
        <w:trPr>
          <w:trHeight w:val="300"/>
          <w:tblHeader/>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4040" w:type="dxa"/>
            <w:gridSpan w:val="3"/>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b/>
                <w:bCs/>
                <w:sz w:val="22"/>
                <w:szCs w:val="22"/>
                <w:lang w:bidi="ta-IN"/>
              </w:rPr>
            </w:pPr>
            <w:r w:rsidRPr="00A018D6">
              <w:rPr>
                <w:rFonts w:eastAsia="Times New Roman"/>
                <w:b/>
                <w:bCs/>
                <w:sz w:val="22"/>
                <w:szCs w:val="22"/>
                <w:lang w:bidi="ta-IN"/>
              </w:rPr>
              <w:t xml:space="preserve">Company </w:t>
            </w:r>
          </w:p>
        </w:tc>
        <w:tc>
          <w:tcPr>
            <w:tcW w:w="4160" w:type="dxa"/>
            <w:gridSpan w:val="3"/>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b/>
                <w:bCs/>
                <w:sz w:val="22"/>
                <w:szCs w:val="22"/>
                <w:lang w:bidi="ta-IN"/>
              </w:rPr>
            </w:pPr>
            <w:r w:rsidRPr="00A018D6">
              <w:rPr>
                <w:rFonts w:eastAsia="Times New Roman"/>
                <w:b/>
                <w:bCs/>
                <w:sz w:val="22"/>
                <w:szCs w:val="22"/>
                <w:lang w:bidi="ta-IN"/>
              </w:rPr>
              <w:t xml:space="preserve">Group </w:t>
            </w:r>
          </w:p>
        </w:tc>
      </w:tr>
      <w:tr w:rsidR="00A018D6" w:rsidRPr="00A018D6" w:rsidTr="00A018D6">
        <w:trPr>
          <w:trHeight w:val="600"/>
          <w:tblHeader/>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07"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b/>
                <w:bCs/>
                <w:sz w:val="22"/>
                <w:szCs w:val="22"/>
                <w:lang w:bidi="ta-IN"/>
              </w:rPr>
            </w:pPr>
            <w:r w:rsidRPr="00A018D6">
              <w:rPr>
                <w:rFonts w:eastAsia="Times New Roman"/>
                <w:b/>
                <w:bCs/>
                <w:sz w:val="22"/>
                <w:szCs w:val="22"/>
                <w:lang w:bidi="ta-IN"/>
              </w:rPr>
              <w:t xml:space="preserve"> 2016</w:t>
            </w:r>
            <w:r w:rsidRPr="00A018D6">
              <w:rPr>
                <w:rFonts w:eastAsia="Times New Roman"/>
                <w:b/>
                <w:bCs/>
                <w:sz w:val="22"/>
                <w:szCs w:val="22"/>
                <w:lang w:bidi="ta-IN"/>
              </w:rPr>
              <w:br/>
              <w:t xml:space="preserve">Rs. '000 </w:t>
            </w:r>
          </w:p>
        </w:tc>
        <w:tc>
          <w:tcPr>
            <w:tcW w:w="1433"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sz w:val="22"/>
                <w:szCs w:val="22"/>
                <w:lang w:bidi="ta-IN"/>
              </w:rPr>
            </w:pPr>
            <w:r w:rsidRPr="00A018D6">
              <w:rPr>
                <w:rFonts w:eastAsia="Times New Roman"/>
                <w:sz w:val="22"/>
                <w:szCs w:val="22"/>
                <w:lang w:bidi="ta-IN"/>
              </w:rPr>
              <w:t xml:space="preserve"> 2015</w:t>
            </w:r>
            <w:r w:rsidRPr="00A018D6">
              <w:rPr>
                <w:rFonts w:eastAsia="Times New Roman"/>
                <w:sz w:val="22"/>
                <w:szCs w:val="22"/>
                <w:lang w:bidi="ta-IN"/>
              </w:rPr>
              <w:br/>
              <w:t xml:space="preserve">Rs. '000 </w:t>
            </w:r>
          </w:p>
        </w:tc>
        <w:tc>
          <w:tcPr>
            <w:tcW w:w="1100"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color w:val="000000"/>
                <w:sz w:val="22"/>
                <w:szCs w:val="22"/>
                <w:lang w:bidi="ta-IN"/>
              </w:rPr>
            </w:pPr>
            <w:r w:rsidRPr="00A018D6">
              <w:rPr>
                <w:rFonts w:eastAsia="Times New Roman"/>
                <w:color w:val="000000"/>
                <w:sz w:val="22"/>
                <w:szCs w:val="22"/>
                <w:lang w:bidi="ta-IN"/>
              </w:rPr>
              <w:t xml:space="preserve"> Change</w:t>
            </w:r>
            <w:r w:rsidRPr="00A018D6">
              <w:rPr>
                <w:rFonts w:eastAsia="Times New Roman"/>
                <w:color w:val="000000"/>
                <w:sz w:val="22"/>
                <w:szCs w:val="22"/>
                <w:lang w:bidi="ta-IN"/>
              </w:rPr>
              <w:br/>
              <w:t xml:space="preserve">% </w:t>
            </w:r>
          </w:p>
        </w:tc>
        <w:tc>
          <w:tcPr>
            <w:tcW w:w="1540"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b/>
                <w:bCs/>
                <w:sz w:val="22"/>
                <w:szCs w:val="22"/>
                <w:lang w:bidi="ta-IN"/>
              </w:rPr>
            </w:pPr>
            <w:r w:rsidRPr="00A018D6">
              <w:rPr>
                <w:rFonts w:eastAsia="Times New Roman"/>
                <w:b/>
                <w:bCs/>
                <w:sz w:val="22"/>
                <w:szCs w:val="22"/>
                <w:lang w:bidi="ta-IN"/>
              </w:rPr>
              <w:t xml:space="preserve"> 2016</w:t>
            </w:r>
            <w:r w:rsidRPr="00A018D6">
              <w:rPr>
                <w:rFonts w:eastAsia="Times New Roman"/>
                <w:b/>
                <w:bCs/>
                <w:sz w:val="22"/>
                <w:szCs w:val="22"/>
                <w:lang w:bidi="ta-IN"/>
              </w:rPr>
              <w:br/>
              <w:t xml:space="preserve">Rs. '000 </w:t>
            </w:r>
          </w:p>
        </w:tc>
        <w:tc>
          <w:tcPr>
            <w:tcW w:w="1520"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sz w:val="22"/>
                <w:szCs w:val="22"/>
                <w:lang w:bidi="ta-IN"/>
              </w:rPr>
            </w:pPr>
            <w:r w:rsidRPr="00A018D6">
              <w:rPr>
                <w:rFonts w:eastAsia="Times New Roman"/>
                <w:sz w:val="22"/>
                <w:szCs w:val="22"/>
                <w:lang w:bidi="ta-IN"/>
              </w:rPr>
              <w:t xml:space="preserve"> 2015</w:t>
            </w:r>
            <w:r w:rsidRPr="00A018D6">
              <w:rPr>
                <w:rFonts w:eastAsia="Times New Roman"/>
                <w:sz w:val="22"/>
                <w:szCs w:val="22"/>
                <w:lang w:bidi="ta-IN"/>
              </w:rPr>
              <w:br/>
              <w:t xml:space="preserve">Rs. '000 </w:t>
            </w:r>
          </w:p>
        </w:tc>
        <w:tc>
          <w:tcPr>
            <w:tcW w:w="1100"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color w:val="000000"/>
                <w:sz w:val="22"/>
                <w:szCs w:val="22"/>
                <w:lang w:bidi="ta-IN"/>
              </w:rPr>
            </w:pPr>
            <w:r w:rsidRPr="00A018D6">
              <w:rPr>
                <w:rFonts w:eastAsia="Times New Roman"/>
                <w:color w:val="000000"/>
                <w:sz w:val="22"/>
                <w:szCs w:val="22"/>
                <w:lang w:bidi="ta-IN"/>
              </w:rPr>
              <w:t xml:space="preserve"> Change</w:t>
            </w:r>
            <w:r w:rsidRPr="00A018D6">
              <w:rPr>
                <w:rFonts w:eastAsia="Times New Roman"/>
                <w:color w:val="000000"/>
                <w:sz w:val="22"/>
                <w:szCs w:val="22"/>
                <w:lang w:bidi="ta-IN"/>
              </w:rPr>
              <w:br/>
              <w:t xml:space="preserve">% </w:t>
            </w:r>
          </w:p>
        </w:tc>
      </w:tr>
      <w:tr w:rsidR="00A018D6" w:rsidRPr="00A018D6" w:rsidTr="00A018D6">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07"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b/>
                <w:bCs/>
                <w:sz w:val="22"/>
                <w:szCs w:val="22"/>
                <w:lang w:bidi="ta-IN"/>
              </w:rPr>
            </w:pPr>
          </w:p>
        </w:tc>
        <w:tc>
          <w:tcPr>
            <w:tcW w:w="1433"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sz w:val="22"/>
                <w:szCs w:val="22"/>
                <w:lang w:bidi="ta-IN"/>
              </w:rPr>
            </w:pPr>
          </w:p>
        </w:tc>
        <w:tc>
          <w:tcPr>
            <w:tcW w:w="1100"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sz w:val="22"/>
                <w:szCs w:val="22"/>
                <w:lang w:bidi="ta-IN"/>
              </w:rPr>
            </w:pPr>
          </w:p>
        </w:tc>
        <w:tc>
          <w:tcPr>
            <w:tcW w:w="1540"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b/>
                <w:bCs/>
                <w:sz w:val="22"/>
                <w:szCs w:val="22"/>
                <w:lang w:bidi="ta-IN"/>
              </w:rPr>
            </w:pPr>
          </w:p>
        </w:tc>
        <w:tc>
          <w:tcPr>
            <w:tcW w:w="1520"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sz w:val="22"/>
                <w:szCs w:val="22"/>
                <w:lang w:bidi="ta-IN"/>
              </w:rPr>
            </w:pPr>
          </w:p>
        </w:tc>
        <w:tc>
          <w:tcPr>
            <w:tcW w:w="1100" w:type="dxa"/>
            <w:tcBorders>
              <w:top w:val="nil"/>
              <w:left w:val="nil"/>
              <w:bottom w:val="nil"/>
              <w:right w:val="nil"/>
            </w:tcBorders>
            <w:shd w:val="clear" w:color="auto" w:fill="auto"/>
            <w:vAlign w:val="bottom"/>
            <w:hideMark/>
          </w:tcPr>
          <w:p w:rsidR="00A018D6" w:rsidRPr="00A018D6" w:rsidRDefault="00A018D6" w:rsidP="00A018D6">
            <w:pPr>
              <w:spacing w:line="240" w:lineRule="auto"/>
              <w:jc w:val="center"/>
              <w:rPr>
                <w:rFonts w:eastAsia="Times New Roman"/>
                <w:sz w:val="22"/>
                <w:szCs w:val="22"/>
                <w:lang w:bidi="ta-IN"/>
              </w:rPr>
            </w:pPr>
          </w:p>
        </w:tc>
      </w:tr>
      <w:tr w:rsidR="00A018D6" w:rsidRPr="00A018D6" w:rsidTr="00A018D6">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 xml:space="preserve">Assets  </w:t>
            </w: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Cash and cash equivalents</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3,206,733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3,139,139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2.15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3,555,643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3,413,951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4.15 </w:t>
            </w:r>
          </w:p>
        </w:tc>
      </w:tr>
      <w:tr w:rsidR="00A018D6" w:rsidRPr="00A018D6" w:rsidTr="00F5430F">
        <w:trPr>
          <w:trHeight w:val="300"/>
        </w:trPr>
        <w:tc>
          <w:tcPr>
            <w:tcW w:w="6480" w:type="dxa"/>
            <w:tcBorders>
              <w:top w:val="nil"/>
              <w:left w:val="nil"/>
              <w:bottom w:val="nil"/>
              <w:right w:val="nil"/>
            </w:tcBorders>
            <w:shd w:val="clear" w:color="auto" w:fill="auto"/>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Balances with banks &amp; financial institutions</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847,448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326,321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159.70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2,543,016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1,830,668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38.91 </w:t>
            </w:r>
          </w:p>
        </w:tc>
      </w:tr>
      <w:tr w:rsidR="00A018D6" w:rsidRPr="00A018D6" w:rsidTr="00F5430F">
        <w:trPr>
          <w:trHeight w:val="36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Financial investments - Held-for-trading</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211,651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196,193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7.88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527,438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503,268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4.80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Loans and receivables</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109,872,415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98,411,195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11.65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111,156,437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97,996,856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13.43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Insurance and reinsurance receivables</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206,303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w:t>
            </w:r>
            <w:r w:rsidRPr="00A018D6">
              <w:rPr>
                <w:rFonts w:eastAsia="Times New Roman"/>
                <w:sz w:val="22"/>
                <w:szCs w:val="22"/>
                <w:lang w:bidi="ta-IN"/>
              </w:rPr>
              <w:lastRenderedPageBreak/>
              <w:t xml:space="preserve">187,300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lastRenderedPageBreak/>
              <w:t xml:space="preserve">        </w:t>
            </w:r>
            <w:r w:rsidRPr="00A018D6">
              <w:rPr>
                <w:rFonts w:eastAsia="Times New Roman"/>
                <w:color w:val="000000"/>
                <w:sz w:val="22"/>
                <w:szCs w:val="22"/>
                <w:lang w:bidi="ta-IN"/>
              </w:rPr>
              <w:lastRenderedPageBreak/>
              <w:t xml:space="preserve">10.15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lastRenderedPageBreak/>
              <w:t>Financial investments - Available-for-sale</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500,357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939,199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(46.73)</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1,739,956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2,043,342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(14.85)</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Financial investments - Held-to-maturity</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4,930,236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5,266,407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(6.38)</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4,930,236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5,266,407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(6.38)</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Investments in subsidiaries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1,875,000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1,875,000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Investments in associates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586,427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550,257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Investment property</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90,752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Property, plant and equipment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1,120,600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1,108,681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1.08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4,209,533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3,804,706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10.64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Goodwill and intangible assets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329,963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337,647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(2.28)</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333,175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345,641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(3.61)</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Other assets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764,066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723,197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5.65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1,334,274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1,768,840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(24.57)</w:t>
            </w:r>
          </w:p>
        </w:tc>
      </w:tr>
      <w:tr w:rsidR="00A018D6" w:rsidRPr="00A018D6" w:rsidTr="00F5430F">
        <w:trPr>
          <w:trHeight w:val="315"/>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 xml:space="preserve">Total assets </w:t>
            </w:r>
          </w:p>
        </w:tc>
        <w:tc>
          <w:tcPr>
            <w:tcW w:w="1507"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124,335,648 </w:t>
            </w:r>
          </w:p>
        </w:tc>
        <w:tc>
          <w:tcPr>
            <w:tcW w:w="1433"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112,322,979 </w:t>
            </w:r>
          </w:p>
        </w:tc>
        <w:tc>
          <w:tcPr>
            <w:tcW w:w="110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10.69 </w:t>
            </w:r>
          </w:p>
        </w:tc>
        <w:tc>
          <w:tcPr>
            <w:tcW w:w="154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131,086,268 </w:t>
            </w:r>
          </w:p>
        </w:tc>
        <w:tc>
          <w:tcPr>
            <w:tcW w:w="152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117,160,979 </w:t>
            </w:r>
          </w:p>
        </w:tc>
        <w:tc>
          <w:tcPr>
            <w:tcW w:w="110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11.89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r w:rsidRPr="00A018D6">
              <w:rPr>
                <w:rFonts w:eastAsia="Times New Roman"/>
                <w:b/>
                <w:bCs/>
                <w:color w:val="FFFFFF"/>
                <w:sz w:val="22"/>
                <w:szCs w:val="22"/>
                <w:lang w:bidi="ta-IN"/>
              </w:rPr>
              <w:t xml:space="preserve">   124,335,641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r w:rsidRPr="00A018D6">
              <w:rPr>
                <w:rFonts w:eastAsia="Times New Roman"/>
                <w:b/>
                <w:bCs/>
                <w:color w:val="FFFFFF"/>
                <w:sz w:val="22"/>
                <w:szCs w:val="22"/>
                <w:lang w:bidi="ta-IN"/>
              </w:rPr>
              <w:t xml:space="preserve">   112,322,979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r w:rsidRPr="00A018D6">
              <w:rPr>
                <w:rFonts w:eastAsia="Times New Roman"/>
                <w:b/>
                <w:bCs/>
                <w:color w:val="FFFFFF"/>
                <w:sz w:val="22"/>
                <w:szCs w:val="22"/>
                <w:lang w:bidi="ta-IN"/>
              </w:rPr>
              <w:t xml:space="preserve">   131,086,264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r w:rsidRPr="00A018D6">
              <w:rPr>
                <w:rFonts w:eastAsia="Times New Roman"/>
                <w:b/>
                <w:bCs/>
                <w:color w:val="FFFFFF"/>
                <w:sz w:val="22"/>
                <w:szCs w:val="22"/>
                <w:lang w:bidi="ta-IN"/>
              </w:rPr>
              <w:t xml:space="preserve">   117,160,982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 xml:space="preserve">Liabilities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r w:rsidRPr="00A018D6">
              <w:rPr>
                <w:rFonts w:eastAsia="Times New Roman"/>
                <w:b/>
                <w:bCs/>
                <w:color w:val="FFFFFF"/>
                <w:sz w:val="22"/>
                <w:szCs w:val="22"/>
                <w:lang w:bidi="ta-IN"/>
              </w:rPr>
              <w:t xml:space="preserve">                     7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r w:rsidRPr="00A018D6">
              <w:rPr>
                <w:rFonts w:eastAsia="Times New Roman"/>
                <w:b/>
                <w:bCs/>
                <w:color w:val="FFFFFF"/>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r w:rsidRPr="00A018D6">
              <w:rPr>
                <w:rFonts w:eastAsia="Times New Roman"/>
                <w:b/>
                <w:bCs/>
                <w:color w:val="FFFFFF"/>
                <w:sz w:val="22"/>
                <w:szCs w:val="22"/>
                <w:lang w:bidi="ta-IN"/>
              </w:rPr>
              <w:t xml:space="preserve">                     4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r w:rsidRPr="00A018D6">
              <w:rPr>
                <w:rFonts w:eastAsia="Times New Roman"/>
                <w:b/>
                <w:bCs/>
                <w:color w:val="FFFFFF"/>
                <w:sz w:val="22"/>
                <w:szCs w:val="22"/>
                <w:lang w:bidi="ta-IN"/>
              </w:rPr>
              <w:t xml:space="preserve">                   (3)</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color w:val="FFFFFF"/>
                <w:sz w:val="22"/>
                <w:szCs w:val="22"/>
                <w:lang w:bidi="ta-IN"/>
              </w:rPr>
            </w:pP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Due to banks</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26,431,628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21,228,600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24.51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28,059,677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22,391,144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25.32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Due to customers</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33,836,428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34,093,762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(0.75)</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33,677,260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34,001,411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(0.95)</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Debt Securities issued</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34,387,677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28,619,004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20.16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34,283,621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28,514,996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20.23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Other  Financial liabilities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2,730,484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3,234,445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(15.58)</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2,888,399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3,165,912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(8.77)</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Derivative financial instruments</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92,193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(100.00)</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92,193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(100.00)</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Insurance liabilities and reinsurance payable</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3,181,588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2,894,358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9.92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Current tax liabilities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937,999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550,042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70.53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1,017,694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618,198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64.62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Deferred tax liabilities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1,821,897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1,949,490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(6.54)</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1,840,724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1,976,418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(6.87)</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lastRenderedPageBreak/>
              <w:t xml:space="preserve">Other liabilities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1,417,667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1,419,655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(0.14)</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1,467,033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1,453,490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0.93 </w:t>
            </w:r>
          </w:p>
        </w:tc>
      </w:tr>
      <w:tr w:rsidR="00A018D6" w:rsidRPr="00A018D6" w:rsidTr="00F5430F">
        <w:trPr>
          <w:trHeight w:val="315"/>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 xml:space="preserve">Total liabilities </w:t>
            </w:r>
          </w:p>
        </w:tc>
        <w:tc>
          <w:tcPr>
            <w:tcW w:w="1507"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101,563,780 </w:t>
            </w:r>
          </w:p>
        </w:tc>
        <w:tc>
          <w:tcPr>
            <w:tcW w:w="1433"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91,187,191 </w:t>
            </w:r>
          </w:p>
        </w:tc>
        <w:tc>
          <w:tcPr>
            <w:tcW w:w="110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11.38 </w:t>
            </w:r>
          </w:p>
        </w:tc>
        <w:tc>
          <w:tcPr>
            <w:tcW w:w="154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106,415,996 </w:t>
            </w:r>
          </w:p>
        </w:tc>
        <w:tc>
          <w:tcPr>
            <w:tcW w:w="152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95,108,120 </w:t>
            </w:r>
          </w:p>
        </w:tc>
        <w:tc>
          <w:tcPr>
            <w:tcW w:w="110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11.89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r w:rsidRPr="00A018D6">
              <w:rPr>
                <w:rFonts w:eastAsia="Times New Roman"/>
                <w:color w:val="FFFFFF"/>
                <w:sz w:val="22"/>
                <w:szCs w:val="22"/>
                <w:lang w:bidi="ta-IN"/>
              </w:rPr>
              <w:t xml:space="preserve">      101,563,771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r w:rsidRPr="00A018D6">
              <w:rPr>
                <w:rFonts w:eastAsia="Times New Roman"/>
                <w:color w:val="FFFFFF"/>
                <w:sz w:val="22"/>
                <w:szCs w:val="22"/>
                <w:lang w:bidi="ta-IN"/>
              </w:rPr>
              <w:t xml:space="preserve">       91,187,191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r w:rsidRPr="00A018D6">
              <w:rPr>
                <w:rFonts w:eastAsia="Times New Roman"/>
                <w:color w:val="FFFFFF"/>
                <w:sz w:val="22"/>
                <w:szCs w:val="22"/>
                <w:lang w:bidi="ta-IN"/>
              </w:rPr>
              <w:t xml:space="preserve">      106,415,992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r w:rsidRPr="00A018D6">
              <w:rPr>
                <w:rFonts w:eastAsia="Times New Roman"/>
                <w:color w:val="FFFFFF"/>
                <w:sz w:val="22"/>
                <w:szCs w:val="22"/>
                <w:lang w:bidi="ta-IN"/>
              </w:rPr>
              <w:t xml:space="preserve">       95,108,123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 xml:space="preserve">Equity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r w:rsidRPr="00A018D6">
              <w:rPr>
                <w:rFonts w:eastAsia="Times New Roman"/>
                <w:color w:val="FFFFFF"/>
                <w:sz w:val="22"/>
                <w:szCs w:val="22"/>
                <w:lang w:bidi="ta-IN"/>
              </w:rPr>
              <w:t xml:space="preserve">                     9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r w:rsidRPr="00A018D6">
              <w:rPr>
                <w:rFonts w:eastAsia="Times New Roman"/>
                <w:color w:val="FFFFFF"/>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r w:rsidRPr="00A018D6">
              <w:rPr>
                <w:rFonts w:eastAsia="Times New Roman"/>
                <w:color w:val="FFFFFF"/>
                <w:sz w:val="22"/>
                <w:szCs w:val="22"/>
                <w:lang w:bidi="ta-IN"/>
              </w:rPr>
              <w:t xml:space="preserve">                     4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r w:rsidRPr="00A018D6">
              <w:rPr>
                <w:rFonts w:eastAsia="Times New Roman"/>
                <w:color w:val="FFFFFF"/>
                <w:sz w:val="22"/>
                <w:szCs w:val="22"/>
                <w:lang w:bidi="ta-IN"/>
              </w:rPr>
              <w:t xml:space="preserve">                   (3)</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FFFFFF"/>
                <w:sz w:val="22"/>
                <w:szCs w:val="22"/>
                <w:lang w:bidi="ta-IN"/>
              </w:rPr>
            </w:pP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Capital</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13,136,073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12,936,073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1.55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13,136,073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12,936,073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1.55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Statutory reserve fund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1,421,483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1,204,116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18.05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1,421,483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1,204,116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18.05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Retained earnings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7,682,230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6,489,599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18.38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8,600,098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7,403,781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16.16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Other reserves  </w:t>
            </w:r>
          </w:p>
        </w:tc>
        <w:tc>
          <w:tcPr>
            <w:tcW w:w="1507" w:type="dxa"/>
            <w:tcBorders>
              <w:top w:val="nil"/>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532,082 </w:t>
            </w:r>
          </w:p>
        </w:tc>
        <w:tc>
          <w:tcPr>
            <w:tcW w:w="1433" w:type="dxa"/>
            <w:tcBorders>
              <w:top w:val="nil"/>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506,000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5.15 </w:t>
            </w:r>
          </w:p>
        </w:tc>
        <w:tc>
          <w:tcPr>
            <w:tcW w:w="1540" w:type="dxa"/>
            <w:tcBorders>
              <w:top w:val="nil"/>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509,575 </w:t>
            </w:r>
          </w:p>
        </w:tc>
        <w:tc>
          <w:tcPr>
            <w:tcW w:w="1520" w:type="dxa"/>
            <w:tcBorders>
              <w:top w:val="nil"/>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508,889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color w:val="000000"/>
                <w:sz w:val="22"/>
                <w:szCs w:val="22"/>
                <w:lang w:bidi="ta-IN"/>
              </w:rPr>
            </w:pPr>
            <w:r w:rsidRPr="00A018D6">
              <w:rPr>
                <w:rFonts w:eastAsia="Times New Roman"/>
                <w:color w:val="000000"/>
                <w:sz w:val="22"/>
                <w:szCs w:val="22"/>
                <w:lang w:bidi="ta-IN"/>
              </w:rPr>
              <w:t xml:space="preserve">         0.13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Total shareholders’ equity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22,771,868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21,135,788 </w:t>
            </w:r>
          </w:p>
        </w:tc>
        <w:tc>
          <w:tcPr>
            <w:tcW w:w="1100" w:type="dxa"/>
            <w:tcBorders>
              <w:top w:val="single" w:sz="4" w:space="0" w:color="auto"/>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7.74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23,667,229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22,052,859 </w:t>
            </w:r>
          </w:p>
        </w:tc>
        <w:tc>
          <w:tcPr>
            <w:tcW w:w="1100" w:type="dxa"/>
            <w:tcBorders>
              <w:top w:val="single" w:sz="4" w:space="0" w:color="auto"/>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7.32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Non -controlling interest </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   </w:t>
            </w:r>
          </w:p>
        </w:tc>
        <w:tc>
          <w:tcPr>
            <w:tcW w:w="1433" w:type="dxa"/>
            <w:tcBorders>
              <w:top w:val="nil"/>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100" w:type="dxa"/>
            <w:tcBorders>
              <w:top w:val="nil"/>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540" w:type="dxa"/>
            <w:tcBorders>
              <w:top w:val="nil"/>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1,003,043 </w:t>
            </w:r>
          </w:p>
        </w:tc>
        <w:tc>
          <w:tcPr>
            <w:tcW w:w="1520" w:type="dxa"/>
            <w:tcBorders>
              <w:top w:val="nil"/>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   </w:t>
            </w:r>
          </w:p>
        </w:tc>
        <w:tc>
          <w:tcPr>
            <w:tcW w:w="1100" w:type="dxa"/>
            <w:tcBorders>
              <w:top w:val="nil"/>
              <w:left w:val="nil"/>
              <w:bottom w:val="single" w:sz="4" w:space="0" w:color="auto"/>
              <w:right w:val="nil"/>
            </w:tcBorders>
            <w:shd w:val="clear" w:color="auto" w:fill="auto"/>
            <w:noWrap/>
            <w:vAlign w:val="bottom"/>
            <w:hideMark/>
          </w:tcPr>
          <w:p w:rsidR="00A018D6" w:rsidRPr="00A018D6" w:rsidRDefault="0093530A" w:rsidP="00F5430F">
            <w:pPr>
              <w:spacing w:line="240" w:lineRule="auto"/>
              <w:jc w:val="right"/>
              <w:rPr>
                <w:rFonts w:eastAsia="Times New Roman"/>
                <w:sz w:val="22"/>
                <w:szCs w:val="22"/>
                <w:lang w:bidi="ta-IN"/>
              </w:rPr>
            </w:pPr>
            <w:r>
              <w:rPr>
                <w:rFonts w:eastAsia="Times New Roman"/>
                <w:sz w:val="22"/>
                <w:szCs w:val="22"/>
                <w:lang w:bidi="ta-IN"/>
              </w:rPr>
              <w:t>-</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 xml:space="preserve">Total equity  </w:t>
            </w:r>
          </w:p>
        </w:tc>
        <w:tc>
          <w:tcPr>
            <w:tcW w:w="1507" w:type="dxa"/>
            <w:tcBorders>
              <w:top w:val="single" w:sz="4" w:space="0" w:color="auto"/>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22,771,868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21,135,788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7.74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24,670,272 </w:t>
            </w:r>
          </w:p>
        </w:tc>
        <w:tc>
          <w:tcPr>
            <w:tcW w:w="1520" w:type="dxa"/>
            <w:tcBorders>
              <w:top w:val="nil"/>
              <w:left w:val="nil"/>
              <w:bottom w:val="single" w:sz="4"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22,052,859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11.87 </w:t>
            </w:r>
          </w:p>
        </w:tc>
      </w:tr>
      <w:tr w:rsidR="00A018D6" w:rsidRPr="00A018D6" w:rsidTr="00F5430F">
        <w:trPr>
          <w:trHeight w:val="315"/>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Total liabilities and equity</w:t>
            </w:r>
          </w:p>
        </w:tc>
        <w:tc>
          <w:tcPr>
            <w:tcW w:w="1507" w:type="dxa"/>
            <w:tcBorders>
              <w:top w:val="nil"/>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124,335,648 </w:t>
            </w:r>
          </w:p>
        </w:tc>
        <w:tc>
          <w:tcPr>
            <w:tcW w:w="1433"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112,322,979 </w:t>
            </w:r>
          </w:p>
        </w:tc>
        <w:tc>
          <w:tcPr>
            <w:tcW w:w="110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10.69 </w:t>
            </w:r>
          </w:p>
        </w:tc>
        <w:tc>
          <w:tcPr>
            <w:tcW w:w="154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131,086,268 </w:t>
            </w:r>
          </w:p>
        </w:tc>
        <w:tc>
          <w:tcPr>
            <w:tcW w:w="1520" w:type="dxa"/>
            <w:tcBorders>
              <w:top w:val="nil"/>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117,160,979 </w:t>
            </w:r>
          </w:p>
        </w:tc>
        <w:tc>
          <w:tcPr>
            <w:tcW w:w="110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11.89 </w:t>
            </w:r>
          </w:p>
        </w:tc>
      </w:tr>
      <w:tr w:rsidR="00A018D6" w:rsidRPr="00A018D6" w:rsidTr="00F5430F">
        <w:trPr>
          <w:trHeight w:val="300"/>
        </w:trPr>
        <w:tc>
          <w:tcPr>
            <w:tcW w:w="648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p>
        </w:tc>
      </w:tr>
      <w:tr w:rsidR="00A018D6" w:rsidRPr="00A018D6" w:rsidTr="00F5430F">
        <w:trPr>
          <w:trHeight w:val="300"/>
        </w:trPr>
        <w:tc>
          <w:tcPr>
            <w:tcW w:w="6480" w:type="dxa"/>
            <w:tcBorders>
              <w:top w:val="nil"/>
              <w:left w:val="nil"/>
              <w:bottom w:val="nil"/>
              <w:right w:val="nil"/>
            </w:tcBorders>
            <w:shd w:val="clear" w:color="auto" w:fill="auto"/>
            <w:vAlign w:val="center"/>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 xml:space="preserve">Contingent liabilities and commitments  </w:t>
            </w:r>
          </w:p>
        </w:tc>
        <w:tc>
          <w:tcPr>
            <w:tcW w:w="1507"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2,351,810 </w:t>
            </w:r>
          </w:p>
        </w:tc>
        <w:tc>
          <w:tcPr>
            <w:tcW w:w="1433"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4,400,063 </w:t>
            </w:r>
          </w:p>
        </w:tc>
        <w:tc>
          <w:tcPr>
            <w:tcW w:w="110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(46.55)</w:t>
            </w:r>
          </w:p>
        </w:tc>
        <w:tc>
          <w:tcPr>
            <w:tcW w:w="154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2,950,490 </w:t>
            </w:r>
          </w:p>
        </w:tc>
        <w:tc>
          <w:tcPr>
            <w:tcW w:w="152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5,308,209 </w:t>
            </w:r>
          </w:p>
        </w:tc>
        <w:tc>
          <w:tcPr>
            <w:tcW w:w="1100" w:type="dxa"/>
            <w:tcBorders>
              <w:top w:val="single" w:sz="4" w:space="0" w:color="auto"/>
              <w:left w:val="nil"/>
              <w:bottom w:val="single" w:sz="8" w:space="0" w:color="auto"/>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(44.42)</w:t>
            </w:r>
          </w:p>
        </w:tc>
      </w:tr>
      <w:tr w:rsidR="00A018D6" w:rsidRPr="00A018D6" w:rsidTr="00F5430F">
        <w:trPr>
          <w:trHeight w:val="300"/>
        </w:trPr>
        <w:tc>
          <w:tcPr>
            <w:tcW w:w="6480" w:type="dxa"/>
            <w:tcBorders>
              <w:top w:val="nil"/>
              <w:left w:val="nil"/>
              <w:bottom w:val="nil"/>
              <w:right w:val="nil"/>
            </w:tcBorders>
            <w:shd w:val="clear" w:color="auto" w:fill="auto"/>
            <w:vAlign w:val="center"/>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Net asset value per share (Rs.)</w:t>
            </w:r>
          </w:p>
        </w:tc>
        <w:tc>
          <w:tcPr>
            <w:tcW w:w="1507"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14.41 </w:t>
            </w:r>
          </w:p>
        </w:tc>
        <w:tc>
          <w:tcPr>
            <w:tcW w:w="1433"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13.38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7.70 </w:t>
            </w:r>
          </w:p>
        </w:tc>
        <w:tc>
          <w:tcPr>
            <w:tcW w:w="154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b/>
                <w:bCs/>
                <w:sz w:val="22"/>
                <w:szCs w:val="22"/>
                <w:lang w:bidi="ta-IN"/>
              </w:rPr>
            </w:pPr>
            <w:r w:rsidRPr="00A018D6">
              <w:rPr>
                <w:rFonts w:eastAsia="Times New Roman"/>
                <w:b/>
                <w:bCs/>
                <w:sz w:val="22"/>
                <w:szCs w:val="22"/>
                <w:lang w:bidi="ta-IN"/>
              </w:rPr>
              <w:t xml:space="preserve">              14.98 </w:t>
            </w:r>
          </w:p>
        </w:tc>
        <w:tc>
          <w:tcPr>
            <w:tcW w:w="152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13.96 </w:t>
            </w:r>
          </w:p>
        </w:tc>
        <w:tc>
          <w:tcPr>
            <w:tcW w:w="1100" w:type="dxa"/>
            <w:tcBorders>
              <w:top w:val="nil"/>
              <w:left w:val="nil"/>
              <w:bottom w:val="nil"/>
              <w:right w:val="nil"/>
            </w:tcBorders>
            <w:shd w:val="clear" w:color="auto" w:fill="auto"/>
            <w:noWrap/>
            <w:vAlign w:val="bottom"/>
            <w:hideMark/>
          </w:tcPr>
          <w:p w:rsidR="00A018D6" w:rsidRPr="00A018D6" w:rsidRDefault="00A018D6" w:rsidP="00F5430F">
            <w:pPr>
              <w:spacing w:line="240" w:lineRule="auto"/>
              <w:jc w:val="right"/>
              <w:rPr>
                <w:rFonts w:eastAsia="Times New Roman"/>
                <w:sz w:val="22"/>
                <w:szCs w:val="22"/>
                <w:lang w:bidi="ta-IN"/>
              </w:rPr>
            </w:pPr>
            <w:r w:rsidRPr="00A018D6">
              <w:rPr>
                <w:rFonts w:eastAsia="Times New Roman"/>
                <w:sz w:val="22"/>
                <w:szCs w:val="22"/>
                <w:lang w:bidi="ta-IN"/>
              </w:rPr>
              <w:t xml:space="preserve">         7.3</w:t>
            </w:r>
            <w:r w:rsidR="00F5430F">
              <w:rPr>
                <w:rFonts w:eastAsia="Times New Roman"/>
                <w:sz w:val="22"/>
                <w:szCs w:val="22"/>
                <w:lang w:bidi="ta-IN"/>
              </w:rPr>
              <w:t>1</w:t>
            </w:r>
            <w:r w:rsidRPr="00A018D6">
              <w:rPr>
                <w:rFonts w:eastAsia="Times New Roman"/>
                <w:sz w:val="22"/>
                <w:szCs w:val="22"/>
                <w:lang w:bidi="ta-IN"/>
              </w:rPr>
              <w:t xml:space="preserve"> </w:t>
            </w:r>
          </w:p>
        </w:tc>
      </w:tr>
    </w:tbl>
    <w:p w:rsidR="00A018D6" w:rsidRDefault="00A018D6"/>
    <w:p w:rsidR="00A018D6" w:rsidRDefault="00A018D6">
      <w:r>
        <w:br w:type="page"/>
      </w:r>
    </w:p>
    <w:p w:rsidR="00A018D6" w:rsidRDefault="00A018D6">
      <w:pPr>
        <w:rPr>
          <w:b/>
          <w:bCs/>
        </w:rPr>
      </w:pPr>
      <w:r w:rsidRPr="00A018D6">
        <w:rPr>
          <w:b/>
          <w:bCs/>
        </w:rPr>
        <w:lastRenderedPageBreak/>
        <w:t>Certification</w:t>
      </w:r>
    </w:p>
    <w:p w:rsidR="00A018D6" w:rsidRPr="00A018D6" w:rsidRDefault="00A018D6">
      <w:pPr>
        <w:rPr>
          <w:b/>
          <w:bCs/>
        </w:rPr>
      </w:pPr>
    </w:p>
    <w:p w:rsidR="00A018D6" w:rsidRDefault="00A018D6">
      <w:pPr>
        <w:rPr>
          <w:rFonts w:eastAsia="Times New Roman"/>
          <w:sz w:val="22"/>
          <w:szCs w:val="22"/>
          <w:lang w:bidi="ta-IN"/>
        </w:rPr>
      </w:pPr>
      <w:r w:rsidRPr="00A018D6">
        <w:rPr>
          <w:rFonts w:eastAsia="Times New Roman"/>
          <w:sz w:val="22"/>
          <w:szCs w:val="22"/>
          <w:lang w:bidi="ta-IN"/>
        </w:rPr>
        <w:t xml:space="preserve">We certify that these Financial Statements have been </w:t>
      </w:r>
      <w:proofErr w:type="gramStart"/>
      <w:r w:rsidRPr="00A018D6">
        <w:rPr>
          <w:rFonts w:eastAsia="Times New Roman"/>
          <w:sz w:val="22"/>
          <w:szCs w:val="22"/>
          <w:lang w:bidi="ta-IN"/>
        </w:rPr>
        <w:t xml:space="preserve">prepared </w:t>
      </w:r>
      <w:r w:rsidR="0093530A">
        <w:rPr>
          <w:rFonts w:eastAsia="Times New Roman"/>
          <w:sz w:val="22"/>
          <w:szCs w:val="22"/>
          <w:lang w:bidi="ta-IN"/>
        </w:rPr>
        <w:t xml:space="preserve"> </w:t>
      </w:r>
      <w:r w:rsidRPr="00A018D6">
        <w:rPr>
          <w:rFonts w:eastAsia="Times New Roman"/>
          <w:sz w:val="22"/>
          <w:szCs w:val="22"/>
          <w:lang w:bidi="ta-IN"/>
        </w:rPr>
        <w:t>in</w:t>
      </w:r>
      <w:proofErr w:type="gramEnd"/>
      <w:r w:rsidRPr="00A018D6">
        <w:rPr>
          <w:rFonts w:eastAsia="Times New Roman"/>
          <w:sz w:val="22"/>
          <w:szCs w:val="22"/>
          <w:lang w:bidi="ta-IN"/>
        </w:rPr>
        <w:t xml:space="preserve"> compliance with the requirements of the Companies Act No. 07 of 2007.</w:t>
      </w:r>
    </w:p>
    <w:p w:rsidR="00A018D6" w:rsidRDefault="00A018D6"/>
    <w:tbl>
      <w:tblPr>
        <w:tblW w:w="12140" w:type="dxa"/>
        <w:tblInd w:w="93" w:type="dxa"/>
        <w:tblLook w:val="04A0" w:firstRow="1" w:lastRow="0" w:firstColumn="1" w:lastColumn="0" w:noHBand="0" w:noVBand="1"/>
      </w:tblPr>
      <w:tblGrid>
        <w:gridCol w:w="3940"/>
        <w:gridCol w:w="1507"/>
        <w:gridCol w:w="1433"/>
        <w:gridCol w:w="1100"/>
        <w:gridCol w:w="1540"/>
        <w:gridCol w:w="1520"/>
        <w:gridCol w:w="1100"/>
      </w:tblGrid>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(sgd.)</w:t>
            </w: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(sgd.)</w:t>
            </w: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93530A" w:rsidP="00A018D6">
            <w:pPr>
              <w:spacing w:line="240" w:lineRule="auto"/>
              <w:jc w:val="left"/>
              <w:rPr>
                <w:rFonts w:eastAsia="Times New Roman"/>
                <w:b/>
                <w:bCs/>
                <w:sz w:val="22"/>
                <w:szCs w:val="22"/>
                <w:lang w:bidi="ta-IN"/>
              </w:rPr>
            </w:pPr>
            <w:proofErr w:type="spellStart"/>
            <w:r>
              <w:rPr>
                <w:rFonts w:eastAsia="Times New Roman"/>
                <w:b/>
                <w:bCs/>
                <w:sz w:val="22"/>
                <w:szCs w:val="22"/>
                <w:lang w:bidi="ta-IN"/>
              </w:rPr>
              <w:t>Sanjeewa</w:t>
            </w:r>
            <w:proofErr w:type="spellEnd"/>
            <w:r w:rsidR="00A018D6" w:rsidRPr="00A018D6">
              <w:rPr>
                <w:rFonts w:eastAsia="Times New Roman"/>
                <w:b/>
                <w:bCs/>
                <w:sz w:val="22"/>
                <w:szCs w:val="22"/>
                <w:lang w:bidi="ta-IN"/>
              </w:rPr>
              <w:t xml:space="preserve"> </w:t>
            </w:r>
            <w:proofErr w:type="spellStart"/>
            <w:r w:rsidR="00A018D6" w:rsidRPr="00A018D6">
              <w:rPr>
                <w:rFonts w:eastAsia="Times New Roman"/>
                <w:b/>
                <w:bCs/>
                <w:sz w:val="22"/>
                <w:szCs w:val="22"/>
                <w:lang w:bidi="ta-IN"/>
              </w:rPr>
              <w:t>Bandaranayake</w:t>
            </w:r>
            <w:proofErr w:type="spellEnd"/>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2533" w:type="dxa"/>
            <w:gridSpan w:val="2"/>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 xml:space="preserve"> D.P. </w:t>
            </w:r>
            <w:proofErr w:type="spellStart"/>
            <w:r w:rsidRPr="00A018D6">
              <w:rPr>
                <w:rFonts w:eastAsia="Times New Roman"/>
                <w:b/>
                <w:bCs/>
                <w:sz w:val="22"/>
                <w:szCs w:val="22"/>
                <w:lang w:bidi="ta-IN"/>
              </w:rPr>
              <w:t>Kumarage</w:t>
            </w:r>
            <w:proofErr w:type="spellEnd"/>
            <w:r w:rsidRPr="00A018D6">
              <w:rPr>
                <w:rFonts w:eastAsia="Times New Roman"/>
                <w:b/>
                <w:bCs/>
                <w:sz w:val="22"/>
                <w:szCs w:val="22"/>
                <w:lang w:bidi="ta-IN"/>
              </w:rPr>
              <w:t xml:space="preserve"> </w:t>
            </w: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Chief Financial Officer</w:t>
            </w: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2533" w:type="dxa"/>
            <w:gridSpan w:val="2"/>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 xml:space="preserve"> Chief Executive Officer </w:t>
            </w: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300"/>
        </w:trPr>
        <w:tc>
          <w:tcPr>
            <w:tcW w:w="9520" w:type="dxa"/>
            <w:gridSpan w:val="5"/>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The Board of Directors is responsible for the preparation and presentation of these Financial Statements.</w:t>
            </w: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300"/>
        </w:trPr>
        <w:tc>
          <w:tcPr>
            <w:tcW w:w="5447" w:type="dxa"/>
            <w:gridSpan w:val="2"/>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Approved and signed for and on behalf of the Board by;</w:t>
            </w: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(sgd.)</w:t>
            </w: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(sgd.)</w:t>
            </w: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roofErr w:type="spellStart"/>
            <w:r w:rsidRPr="00A018D6">
              <w:rPr>
                <w:rFonts w:eastAsia="Times New Roman"/>
                <w:b/>
                <w:bCs/>
                <w:sz w:val="22"/>
                <w:szCs w:val="22"/>
                <w:lang w:bidi="ta-IN"/>
              </w:rPr>
              <w:t>Hemasiri</w:t>
            </w:r>
            <w:proofErr w:type="spellEnd"/>
            <w:r w:rsidRPr="00A018D6">
              <w:rPr>
                <w:rFonts w:eastAsia="Times New Roman"/>
                <w:b/>
                <w:bCs/>
                <w:sz w:val="22"/>
                <w:szCs w:val="22"/>
                <w:lang w:bidi="ta-IN"/>
              </w:rPr>
              <w:t xml:space="preserve"> Fernando </w:t>
            </w: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2533" w:type="dxa"/>
            <w:gridSpan w:val="2"/>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r w:rsidRPr="00A018D6">
              <w:rPr>
                <w:rFonts w:eastAsia="Times New Roman"/>
                <w:b/>
                <w:bCs/>
                <w:sz w:val="22"/>
                <w:szCs w:val="22"/>
                <w:lang w:bidi="ta-IN"/>
              </w:rPr>
              <w:t xml:space="preserve">M.P. </w:t>
            </w:r>
            <w:proofErr w:type="spellStart"/>
            <w:r w:rsidRPr="00A018D6">
              <w:rPr>
                <w:rFonts w:eastAsia="Times New Roman"/>
                <w:b/>
                <w:bCs/>
                <w:sz w:val="22"/>
                <w:szCs w:val="22"/>
                <w:lang w:bidi="ta-IN"/>
              </w:rPr>
              <w:t>Amirthanayagam</w:t>
            </w:r>
            <w:proofErr w:type="spellEnd"/>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Chairman</w:t>
            </w: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2533" w:type="dxa"/>
            <w:gridSpan w:val="2"/>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Deputy Chairman</w:t>
            </w: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165"/>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center"/>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165"/>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center"/>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93530A" w:rsidP="0093530A">
            <w:pPr>
              <w:spacing w:line="240" w:lineRule="auto"/>
              <w:jc w:val="left"/>
              <w:rPr>
                <w:rFonts w:eastAsia="Times New Roman"/>
                <w:sz w:val="22"/>
                <w:szCs w:val="22"/>
                <w:lang w:bidi="ta-IN"/>
              </w:rPr>
            </w:pPr>
            <w:r>
              <w:rPr>
                <w:rFonts w:eastAsia="Times New Roman"/>
                <w:sz w:val="22"/>
                <w:szCs w:val="22"/>
                <w:lang w:bidi="ta-IN"/>
              </w:rPr>
              <w:t>18</w:t>
            </w:r>
            <w:r w:rsidR="00A018D6" w:rsidRPr="00A018D6">
              <w:rPr>
                <w:rFonts w:eastAsia="Times New Roman"/>
                <w:sz w:val="22"/>
                <w:szCs w:val="22"/>
                <w:lang w:bidi="ta-IN"/>
              </w:rPr>
              <w:t xml:space="preserve">th </w:t>
            </w:r>
            <w:r>
              <w:rPr>
                <w:rFonts w:eastAsia="Times New Roman"/>
                <w:sz w:val="22"/>
                <w:szCs w:val="22"/>
                <w:lang w:bidi="ta-IN"/>
              </w:rPr>
              <w:t>May</w:t>
            </w:r>
            <w:r w:rsidR="00A018D6" w:rsidRPr="00A018D6">
              <w:rPr>
                <w:rFonts w:eastAsia="Times New Roman"/>
                <w:sz w:val="22"/>
                <w:szCs w:val="22"/>
                <w:lang w:bidi="ta-IN"/>
              </w:rPr>
              <w:t>, 2016</w:t>
            </w: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r w:rsidR="00A018D6" w:rsidRPr="00A018D6" w:rsidTr="00A018D6">
        <w:trPr>
          <w:trHeight w:val="300"/>
        </w:trPr>
        <w:tc>
          <w:tcPr>
            <w:tcW w:w="39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r w:rsidRPr="00A018D6">
              <w:rPr>
                <w:rFonts w:eastAsia="Times New Roman"/>
                <w:sz w:val="22"/>
                <w:szCs w:val="22"/>
                <w:lang w:bidi="ta-IN"/>
              </w:rPr>
              <w:t>Colombo</w:t>
            </w:r>
          </w:p>
        </w:tc>
        <w:tc>
          <w:tcPr>
            <w:tcW w:w="1507"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433"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A018D6" w:rsidRPr="00A018D6" w:rsidRDefault="00A018D6" w:rsidP="00A018D6">
            <w:pPr>
              <w:spacing w:line="240" w:lineRule="auto"/>
              <w:jc w:val="left"/>
              <w:rPr>
                <w:rFonts w:eastAsia="Times New Roman"/>
                <w:sz w:val="22"/>
                <w:szCs w:val="22"/>
                <w:lang w:bidi="ta-IN"/>
              </w:rPr>
            </w:pPr>
          </w:p>
        </w:tc>
      </w:tr>
    </w:tbl>
    <w:p w:rsidR="00A018D6" w:rsidRDefault="00A018D6" w:rsidP="00CF2048"/>
    <w:sectPr w:rsidR="00A018D6" w:rsidSect="00CF2048">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E35C5"/>
    <w:multiLevelType w:val="hybridMultilevel"/>
    <w:tmpl w:val="28A0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2"/>
  </w:compat>
  <w:rsids>
    <w:rsidRoot w:val="00C55EC2"/>
    <w:rsid w:val="00177604"/>
    <w:rsid w:val="002E2E6F"/>
    <w:rsid w:val="002F077F"/>
    <w:rsid w:val="003577EB"/>
    <w:rsid w:val="00560771"/>
    <w:rsid w:val="005E15BE"/>
    <w:rsid w:val="00742279"/>
    <w:rsid w:val="00796B37"/>
    <w:rsid w:val="007D1FE8"/>
    <w:rsid w:val="008E45D5"/>
    <w:rsid w:val="0093530A"/>
    <w:rsid w:val="00A018D6"/>
    <w:rsid w:val="00A56169"/>
    <w:rsid w:val="00AB6399"/>
    <w:rsid w:val="00AC7851"/>
    <w:rsid w:val="00B43E8D"/>
    <w:rsid w:val="00B71485"/>
    <w:rsid w:val="00C44F04"/>
    <w:rsid w:val="00C55EC2"/>
    <w:rsid w:val="00C82ACC"/>
    <w:rsid w:val="00CB7369"/>
    <w:rsid w:val="00CF0EFE"/>
    <w:rsid w:val="00CF2048"/>
    <w:rsid w:val="00F5430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770">
      <w:bodyDiv w:val="1"/>
      <w:marLeft w:val="0"/>
      <w:marRight w:val="0"/>
      <w:marTop w:val="0"/>
      <w:marBottom w:val="0"/>
      <w:divBdr>
        <w:top w:val="none" w:sz="0" w:space="0" w:color="auto"/>
        <w:left w:val="none" w:sz="0" w:space="0" w:color="auto"/>
        <w:bottom w:val="none" w:sz="0" w:space="0" w:color="auto"/>
        <w:right w:val="none" w:sz="0" w:space="0" w:color="auto"/>
      </w:divBdr>
    </w:div>
    <w:div w:id="95441547">
      <w:bodyDiv w:val="1"/>
      <w:marLeft w:val="0"/>
      <w:marRight w:val="0"/>
      <w:marTop w:val="0"/>
      <w:marBottom w:val="0"/>
      <w:divBdr>
        <w:top w:val="none" w:sz="0" w:space="0" w:color="auto"/>
        <w:left w:val="none" w:sz="0" w:space="0" w:color="auto"/>
        <w:bottom w:val="none" w:sz="0" w:space="0" w:color="auto"/>
        <w:right w:val="none" w:sz="0" w:space="0" w:color="auto"/>
      </w:divBdr>
    </w:div>
    <w:div w:id="329452628">
      <w:bodyDiv w:val="1"/>
      <w:marLeft w:val="0"/>
      <w:marRight w:val="0"/>
      <w:marTop w:val="0"/>
      <w:marBottom w:val="0"/>
      <w:divBdr>
        <w:top w:val="none" w:sz="0" w:space="0" w:color="auto"/>
        <w:left w:val="none" w:sz="0" w:space="0" w:color="auto"/>
        <w:bottom w:val="none" w:sz="0" w:space="0" w:color="auto"/>
        <w:right w:val="none" w:sz="0" w:space="0" w:color="auto"/>
      </w:divBdr>
    </w:div>
    <w:div w:id="1080370634">
      <w:bodyDiv w:val="1"/>
      <w:marLeft w:val="0"/>
      <w:marRight w:val="0"/>
      <w:marTop w:val="0"/>
      <w:marBottom w:val="0"/>
      <w:divBdr>
        <w:top w:val="none" w:sz="0" w:space="0" w:color="auto"/>
        <w:left w:val="none" w:sz="0" w:space="0" w:color="auto"/>
        <w:bottom w:val="none" w:sz="0" w:space="0" w:color="auto"/>
        <w:right w:val="none" w:sz="0" w:space="0" w:color="auto"/>
      </w:divBdr>
    </w:div>
    <w:div w:id="1135954381">
      <w:bodyDiv w:val="1"/>
      <w:marLeft w:val="0"/>
      <w:marRight w:val="0"/>
      <w:marTop w:val="0"/>
      <w:marBottom w:val="0"/>
      <w:divBdr>
        <w:top w:val="none" w:sz="0" w:space="0" w:color="auto"/>
        <w:left w:val="none" w:sz="0" w:space="0" w:color="auto"/>
        <w:bottom w:val="none" w:sz="0" w:space="0" w:color="auto"/>
        <w:right w:val="none" w:sz="0" w:space="0" w:color="auto"/>
      </w:divBdr>
    </w:div>
    <w:div w:id="1389573097">
      <w:bodyDiv w:val="1"/>
      <w:marLeft w:val="0"/>
      <w:marRight w:val="0"/>
      <w:marTop w:val="0"/>
      <w:marBottom w:val="0"/>
      <w:divBdr>
        <w:top w:val="none" w:sz="0" w:space="0" w:color="auto"/>
        <w:left w:val="none" w:sz="0" w:space="0" w:color="auto"/>
        <w:bottom w:val="none" w:sz="0" w:space="0" w:color="auto"/>
        <w:right w:val="none" w:sz="0" w:space="0" w:color="auto"/>
      </w:divBdr>
    </w:div>
    <w:div w:id="18411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smarrt</dc:creator>
  <cp:lastModifiedBy>Prassadi Niroshika Leelarathna</cp:lastModifiedBy>
  <cp:revision>13</cp:revision>
  <dcterms:created xsi:type="dcterms:W3CDTF">2021-02-18T21:08:00Z</dcterms:created>
  <dcterms:modified xsi:type="dcterms:W3CDTF">2021-03-09T13:24:00Z</dcterms:modified>
</cp:coreProperties>
</file>